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31EDE">
      <w:pPr>
        <w:keepNext w:val="0"/>
        <w:keepLines w:val="0"/>
        <w:pageBreakBefore w:val="0"/>
        <w:widowControl w:val="0"/>
        <w:kinsoku/>
        <w:wordWrap/>
        <w:overflowPunct/>
        <w:topLinePunct w:val="0"/>
        <w:autoSpaceDE/>
        <w:autoSpaceDN/>
        <w:bidi w:val="0"/>
        <w:adjustRightInd/>
        <w:snapToGrid/>
        <w:jc w:val="right"/>
        <w:textAlignment w:val="auto"/>
        <w:outlineLvl w:val="9"/>
        <w:rPr>
          <w:rFonts w:hint="default" w:ascii="宋体" w:eastAsia="宋体"/>
          <w:b/>
          <w:bCs/>
          <w:color w:val="auto"/>
          <w:sz w:val="30"/>
          <w:szCs w:val="30"/>
          <w:highlight w:val="none"/>
          <w:lang w:val="en-US" w:eastAsia="zh-CN"/>
        </w:rPr>
      </w:pPr>
      <w:r>
        <w:rPr>
          <w:rFonts w:hint="eastAsia" w:ascii="宋体"/>
          <w:b/>
          <w:color w:val="auto"/>
          <w:sz w:val="30"/>
          <w:szCs w:val="30"/>
          <w:highlight w:val="none"/>
        </w:rPr>
        <w:t>采购编号：</w:t>
      </w:r>
      <w:r>
        <w:rPr>
          <w:rFonts w:hint="eastAsia" w:ascii="宋体" w:hAnsi="宋体" w:cs="宋体"/>
          <w:b/>
          <w:bCs/>
          <w:color w:val="auto"/>
          <w:sz w:val="30"/>
          <w:szCs w:val="30"/>
          <w:highlight w:val="none"/>
          <w:lang w:val="en-US" w:eastAsia="zh-CN"/>
        </w:rPr>
        <w:t>202607SJ002</w:t>
      </w:r>
    </w:p>
    <w:p w14:paraId="40DEB2FC">
      <w:pPr>
        <w:rPr>
          <w:rFonts w:hint="eastAsia" w:ascii="宋体"/>
          <w:b/>
          <w:color w:val="auto"/>
          <w:sz w:val="52"/>
          <w:szCs w:val="52"/>
          <w:highlight w:val="none"/>
        </w:rPr>
      </w:pPr>
    </w:p>
    <w:p w14:paraId="19DB2C1D">
      <w:pPr>
        <w:pStyle w:val="2"/>
        <w:rPr>
          <w:rFonts w:hint="eastAsia"/>
        </w:rPr>
      </w:pPr>
    </w:p>
    <w:p w14:paraId="0EE031F6">
      <w:pPr>
        <w:pStyle w:val="11"/>
        <w:keepNext w:val="0"/>
        <w:keepLines w:val="0"/>
        <w:pageBreakBefore w:val="0"/>
        <w:widowControl w:val="0"/>
        <w:kinsoku/>
        <w:wordWrap/>
        <w:overflowPunct/>
        <w:topLinePunct w:val="0"/>
        <w:bidi w:val="0"/>
        <w:jc w:val="center"/>
        <w:textAlignment w:val="auto"/>
        <w:outlineLvl w:val="9"/>
        <w:rPr>
          <w:rFonts w:hint="eastAsia" w:ascii="宋体" w:hAnsi="宋体" w:eastAsia="宋体" w:cs="宋体"/>
          <w:b/>
          <w:color w:val="auto"/>
          <w:kern w:val="2"/>
          <w:sz w:val="52"/>
          <w:szCs w:val="52"/>
          <w:highlight w:val="none"/>
          <w:lang w:val="en-US" w:eastAsia="zh-CN" w:bidi="ar-SA"/>
        </w:rPr>
      </w:pPr>
      <w:r>
        <w:rPr>
          <w:rFonts w:hint="eastAsia" w:ascii="宋体" w:hAnsi="宋体" w:eastAsia="宋体" w:cs="宋体"/>
          <w:b/>
          <w:color w:val="auto"/>
          <w:kern w:val="2"/>
          <w:sz w:val="52"/>
          <w:szCs w:val="52"/>
          <w:highlight w:val="none"/>
          <w:lang w:val="en-US" w:eastAsia="zh-CN" w:bidi="ar-SA"/>
        </w:rPr>
        <w:t>四川信息职业技术学院</w:t>
      </w:r>
    </w:p>
    <w:p w14:paraId="49B31EFD">
      <w:pPr>
        <w:pStyle w:val="16"/>
        <w:keepNext w:val="0"/>
        <w:keepLines w:val="0"/>
        <w:pageBreakBefore w:val="0"/>
        <w:widowControl w:val="0"/>
        <w:kinsoku/>
        <w:wordWrap/>
        <w:overflowPunct/>
        <w:topLinePunct w:val="0"/>
        <w:bidi w:val="0"/>
        <w:ind w:firstLine="1566" w:firstLineChars="300"/>
        <w:textAlignment w:val="auto"/>
        <w:outlineLvl w:val="9"/>
        <w:rPr>
          <w:rFonts w:hint="eastAsia" w:ascii="宋体" w:hAnsi="宋体" w:cs="宋体"/>
          <w:color w:val="auto"/>
          <w:sz w:val="52"/>
          <w:szCs w:val="52"/>
          <w:highlight w:val="none"/>
        </w:rPr>
      </w:pPr>
      <w:r>
        <w:rPr>
          <w:rFonts w:hint="eastAsia" w:ascii="宋体" w:hAnsi="宋体" w:eastAsia="宋体" w:cs="宋体"/>
          <w:b/>
          <w:color w:val="auto"/>
          <w:kern w:val="2"/>
          <w:sz w:val="52"/>
          <w:szCs w:val="52"/>
          <w:highlight w:val="none"/>
          <w:lang w:val="en-US" w:eastAsia="zh-CN" w:bidi="ar-SA"/>
        </w:rPr>
        <w:t>工程造价咨询服务采购项目</w:t>
      </w:r>
    </w:p>
    <w:p w14:paraId="0986A50B">
      <w:pPr>
        <w:keepNext w:val="0"/>
        <w:keepLines w:val="0"/>
        <w:pageBreakBefore w:val="0"/>
        <w:widowControl w:val="0"/>
        <w:kinsoku/>
        <w:wordWrap/>
        <w:overflowPunct/>
        <w:topLinePunct w:val="0"/>
        <w:bidi w:val="0"/>
        <w:textAlignment w:val="auto"/>
        <w:outlineLvl w:val="9"/>
        <w:rPr>
          <w:rFonts w:hint="eastAsia"/>
          <w:color w:val="auto"/>
          <w:highlight w:val="none"/>
        </w:rPr>
      </w:pPr>
    </w:p>
    <w:p w14:paraId="437A0E4E">
      <w:pPr>
        <w:keepNext w:val="0"/>
        <w:keepLines w:val="0"/>
        <w:pageBreakBefore w:val="0"/>
        <w:widowControl w:val="0"/>
        <w:kinsoku/>
        <w:wordWrap/>
        <w:overflowPunct/>
        <w:topLinePunct w:val="0"/>
        <w:bidi w:val="0"/>
        <w:textAlignment w:val="auto"/>
        <w:outlineLvl w:val="9"/>
        <w:rPr>
          <w:rFonts w:hint="eastAsia"/>
          <w:color w:val="auto"/>
          <w:highlight w:val="none"/>
        </w:rPr>
      </w:pPr>
    </w:p>
    <w:p w14:paraId="186D95B8">
      <w:pPr>
        <w:keepNext w:val="0"/>
        <w:keepLines w:val="0"/>
        <w:pageBreakBefore w:val="0"/>
        <w:widowControl w:val="0"/>
        <w:kinsoku/>
        <w:wordWrap/>
        <w:overflowPunct/>
        <w:topLinePunct w:val="0"/>
        <w:bidi w:val="0"/>
        <w:adjustRightInd w:val="0"/>
        <w:snapToGrid w:val="0"/>
        <w:spacing w:line="360" w:lineRule="auto"/>
        <w:jc w:val="center"/>
        <w:textAlignment w:val="auto"/>
        <w:outlineLvl w:val="9"/>
        <w:rPr>
          <w:rFonts w:hint="eastAsia" w:ascii="宋体" w:hAnsi="宋体" w:cs="宋体"/>
          <w:color w:val="auto"/>
          <w:sz w:val="52"/>
          <w:szCs w:val="52"/>
          <w:highlight w:val="none"/>
        </w:rPr>
      </w:pPr>
      <w:r>
        <w:rPr>
          <w:rFonts w:hint="eastAsia" w:ascii="宋体" w:hAnsi="宋体" w:cs="宋体"/>
          <w:b/>
          <w:color w:val="auto"/>
          <w:sz w:val="52"/>
          <w:szCs w:val="52"/>
          <w:highlight w:val="none"/>
        </w:rPr>
        <w:t>竞争性磋商文件</w:t>
      </w:r>
    </w:p>
    <w:p w14:paraId="273DACBC">
      <w:pPr>
        <w:pStyle w:val="11"/>
        <w:keepNext w:val="0"/>
        <w:keepLines w:val="0"/>
        <w:pageBreakBefore w:val="0"/>
        <w:widowControl w:val="0"/>
        <w:kinsoku/>
        <w:wordWrap/>
        <w:overflowPunct/>
        <w:topLinePunct w:val="0"/>
        <w:bidi w:val="0"/>
        <w:spacing w:line="360" w:lineRule="auto"/>
        <w:jc w:val="left"/>
        <w:textAlignment w:val="auto"/>
        <w:outlineLvl w:val="9"/>
        <w:rPr>
          <w:rFonts w:hint="eastAsia" w:ascii="宋体" w:hAnsi="宋体" w:cs="宋体"/>
          <w:color w:val="auto"/>
          <w:highlight w:val="none"/>
        </w:rPr>
      </w:pPr>
    </w:p>
    <w:p w14:paraId="6E8D81A1">
      <w:pPr>
        <w:pStyle w:val="12"/>
        <w:keepNext w:val="0"/>
        <w:keepLines w:val="0"/>
        <w:pageBreakBefore w:val="0"/>
        <w:widowControl w:val="0"/>
        <w:kinsoku/>
        <w:wordWrap/>
        <w:overflowPunct/>
        <w:topLinePunct w:val="0"/>
        <w:bidi w:val="0"/>
        <w:spacing w:line="360" w:lineRule="auto"/>
        <w:ind w:left="0" w:leftChars="0" w:firstLine="0" w:firstLineChars="0"/>
        <w:jc w:val="left"/>
        <w:textAlignment w:val="auto"/>
        <w:outlineLvl w:val="9"/>
        <w:rPr>
          <w:rFonts w:hint="eastAsia" w:ascii="宋体" w:hAnsi="宋体" w:cs="宋体"/>
          <w:color w:val="auto"/>
          <w:highlight w:val="none"/>
        </w:rPr>
      </w:pPr>
    </w:p>
    <w:p w14:paraId="0EE6D53A">
      <w:pPr>
        <w:pStyle w:val="12"/>
        <w:keepNext w:val="0"/>
        <w:keepLines w:val="0"/>
        <w:pageBreakBefore w:val="0"/>
        <w:widowControl w:val="0"/>
        <w:kinsoku/>
        <w:wordWrap/>
        <w:overflowPunct/>
        <w:topLinePunct w:val="0"/>
        <w:bidi w:val="0"/>
        <w:spacing w:line="360" w:lineRule="auto"/>
        <w:ind w:left="0" w:leftChars="0" w:firstLine="0" w:firstLineChars="0"/>
        <w:jc w:val="left"/>
        <w:textAlignment w:val="auto"/>
        <w:outlineLvl w:val="9"/>
        <w:rPr>
          <w:rFonts w:hint="eastAsia" w:ascii="宋体" w:hAnsi="宋体" w:cs="宋体"/>
          <w:color w:val="auto"/>
          <w:highlight w:val="none"/>
        </w:rPr>
      </w:pPr>
    </w:p>
    <w:p w14:paraId="16A62751">
      <w:pPr>
        <w:pStyle w:val="12"/>
        <w:keepNext w:val="0"/>
        <w:keepLines w:val="0"/>
        <w:pageBreakBefore w:val="0"/>
        <w:widowControl w:val="0"/>
        <w:kinsoku/>
        <w:wordWrap/>
        <w:overflowPunct/>
        <w:topLinePunct w:val="0"/>
        <w:bidi w:val="0"/>
        <w:spacing w:line="360" w:lineRule="auto"/>
        <w:ind w:left="0" w:leftChars="0" w:firstLine="0" w:firstLineChars="0"/>
        <w:jc w:val="left"/>
        <w:textAlignment w:val="auto"/>
        <w:outlineLvl w:val="9"/>
        <w:rPr>
          <w:rFonts w:hint="eastAsia" w:ascii="宋体" w:hAnsi="宋体" w:cs="宋体"/>
          <w:color w:val="auto"/>
          <w:highlight w:val="none"/>
        </w:rPr>
      </w:pPr>
    </w:p>
    <w:p w14:paraId="6804D0BD">
      <w:pPr>
        <w:pStyle w:val="11"/>
        <w:keepNext w:val="0"/>
        <w:keepLines w:val="0"/>
        <w:pageBreakBefore w:val="0"/>
        <w:widowControl w:val="0"/>
        <w:kinsoku/>
        <w:wordWrap/>
        <w:overflowPunct/>
        <w:topLinePunct w:val="0"/>
        <w:bidi w:val="0"/>
        <w:spacing w:after="0" w:line="360" w:lineRule="auto"/>
        <w:jc w:val="center"/>
        <w:textAlignment w:val="auto"/>
        <w:outlineLvl w:val="9"/>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rPr>
        <w:t>采购人：</w:t>
      </w:r>
      <w:r>
        <w:rPr>
          <w:rFonts w:hint="eastAsia" w:ascii="宋体" w:hAnsi="宋体" w:cs="宋体"/>
          <w:b/>
          <w:bCs/>
          <w:color w:val="auto"/>
          <w:sz w:val="30"/>
          <w:szCs w:val="30"/>
          <w:highlight w:val="none"/>
          <w:lang w:eastAsia="zh-CN"/>
        </w:rPr>
        <w:t>四川信息职业技术学院</w:t>
      </w:r>
    </w:p>
    <w:p w14:paraId="478D32DC">
      <w:pPr>
        <w:keepNext w:val="0"/>
        <w:keepLines w:val="0"/>
        <w:pageBreakBefore w:val="0"/>
        <w:widowControl w:val="0"/>
        <w:kinsoku/>
        <w:wordWrap/>
        <w:overflowPunct/>
        <w:topLinePunct w:val="0"/>
        <w:bidi w:val="0"/>
        <w:textAlignment w:val="auto"/>
        <w:outlineLvl w:val="9"/>
        <w:rPr>
          <w:rFonts w:hint="eastAsia"/>
          <w:color w:val="auto"/>
          <w:highlight w:val="none"/>
        </w:rPr>
      </w:pPr>
      <w:bookmarkStart w:id="0" w:name="_Toc22200"/>
    </w:p>
    <w:p w14:paraId="5FD0C431">
      <w:pPr>
        <w:pStyle w:val="11"/>
        <w:keepNext w:val="0"/>
        <w:keepLines w:val="0"/>
        <w:pageBreakBefore w:val="0"/>
        <w:widowControl w:val="0"/>
        <w:kinsoku/>
        <w:wordWrap/>
        <w:overflowPunct/>
        <w:topLinePunct w:val="0"/>
        <w:bidi w:val="0"/>
        <w:spacing w:after="0" w:line="360" w:lineRule="auto"/>
        <w:ind w:firstLine="452" w:firstLineChars="150"/>
        <w:jc w:val="center"/>
        <w:textAlignment w:val="auto"/>
        <w:outlineLvl w:val="9"/>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2026年</w:t>
      </w:r>
      <w:r>
        <w:rPr>
          <w:rFonts w:hint="eastAsia" w:ascii="宋体" w:hAnsi="宋体" w:cs="宋体"/>
          <w:b/>
          <w:bCs/>
          <w:color w:val="auto"/>
          <w:kern w:val="2"/>
          <w:sz w:val="30"/>
          <w:szCs w:val="30"/>
          <w:highlight w:val="none"/>
          <w:lang w:val="en-US" w:eastAsia="zh-CN" w:bidi="ar-SA"/>
        </w:rPr>
        <w:t>7</w:t>
      </w:r>
      <w:r>
        <w:rPr>
          <w:rFonts w:hint="eastAsia" w:ascii="宋体" w:hAnsi="宋体" w:eastAsia="宋体" w:cs="宋体"/>
          <w:b/>
          <w:bCs/>
          <w:color w:val="auto"/>
          <w:kern w:val="2"/>
          <w:sz w:val="30"/>
          <w:szCs w:val="30"/>
          <w:highlight w:val="none"/>
          <w:lang w:val="en-US" w:eastAsia="zh-CN" w:bidi="ar-SA"/>
        </w:rPr>
        <w:t>月</w:t>
      </w:r>
      <w:bookmarkEnd w:id="0"/>
    </w:p>
    <w:p w14:paraId="15C60919">
      <w:pPr>
        <w:pStyle w:val="16"/>
        <w:rPr>
          <w:rFonts w:hint="eastAsia" w:ascii="宋体" w:hAnsi="宋体" w:eastAsia="宋体" w:cs="宋体"/>
          <w:b/>
          <w:bCs/>
          <w:color w:val="auto"/>
          <w:kern w:val="2"/>
          <w:sz w:val="30"/>
          <w:szCs w:val="30"/>
          <w:highlight w:val="none"/>
          <w:lang w:val="en-US" w:eastAsia="zh-CN" w:bidi="ar-SA"/>
        </w:rPr>
      </w:pPr>
    </w:p>
    <w:p w14:paraId="50B7ACB0">
      <w:pPr>
        <w:pStyle w:val="16"/>
        <w:rPr>
          <w:rFonts w:hint="eastAsia" w:ascii="宋体" w:hAnsi="宋体" w:eastAsia="宋体" w:cs="宋体"/>
          <w:b/>
          <w:bCs/>
          <w:color w:val="auto"/>
          <w:kern w:val="2"/>
          <w:sz w:val="30"/>
          <w:szCs w:val="30"/>
          <w:highlight w:val="none"/>
          <w:lang w:val="en-US" w:eastAsia="zh-CN" w:bidi="ar-SA"/>
        </w:rPr>
        <w:sectPr>
          <w:headerReference r:id="rId3" w:type="default"/>
          <w:pgSz w:w="11906" w:h="16838"/>
          <w:pgMar w:top="1417" w:right="1417" w:bottom="1417" w:left="1417" w:header="851" w:footer="992" w:gutter="0"/>
          <w:pgNumType w:fmt="numberInDash"/>
          <w:cols w:space="720" w:num="1"/>
          <w:docGrid w:type="lines" w:linePitch="312" w:charSpace="0"/>
        </w:sectPr>
      </w:pPr>
    </w:p>
    <w:p w14:paraId="65DD412B">
      <w:pPr>
        <w:jc w:val="center"/>
        <w:rPr>
          <w:b/>
          <w:bCs/>
          <w:color w:val="auto"/>
          <w:sz w:val="32"/>
          <w:szCs w:val="32"/>
          <w:highlight w:val="none"/>
        </w:rPr>
      </w:pPr>
      <w:r>
        <w:rPr>
          <w:rFonts w:ascii="宋体" w:hAnsi="宋体"/>
          <w:b/>
          <w:bCs/>
          <w:color w:val="auto"/>
          <w:sz w:val="32"/>
          <w:szCs w:val="32"/>
          <w:highlight w:val="none"/>
        </w:rPr>
        <w:t>目</w:t>
      </w:r>
      <w:r>
        <w:rPr>
          <w:rFonts w:hint="eastAsia" w:ascii="宋体" w:hAnsi="宋体"/>
          <w:b/>
          <w:bCs/>
          <w:color w:val="auto"/>
          <w:sz w:val="32"/>
          <w:szCs w:val="32"/>
          <w:highlight w:val="none"/>
        </w:rPr>
        <w:t xml:space="preserve">  </w:t>
      </w:r>
      <w:r>
        <w:rPr>
          <w:rFonts w:ascii="宋体" w:hAnsi="宋体"/>
          <w:b/>
          <w:bCs/>
          <w:color w:val="auto"/>
          <w:sz w:val="32"/>
          <w:szCs w:val="32"/>
          <w:highlight w:val="none"/>
        </w:rPr>
        <w:t>录</w:t>
      </w:r>
    </w:p>
    <w:p w14:paraId="053548D3">
      <w:pPr>
        <w:spacing w:before="0" w:beforeLines="0" w:after="0" w:afterLines="0" w:line="240" w:lineRule="auto"/>
        <w:ind w:left="0" w:leftChars="0" w:right="0" w:rightChars="0" w:firstLine="0" w:firstLineChars="0"/>
        <w:jc w:val="center"/>
      </w:pPr>
    </w:p>
    <w:p w14:paraId="49F3C608">
      <w:pPr>
        <w:pStyle w:val="22"/>
        <w:tabs>
          <w:tab w:val="right" w:leader="dot" w:pos="9524"/>
        </w:tabs>
        <w:rPr>
          <w:rFonts w:hint="eastAsia" w:ascii="宋体" w:hAnsi="宋体" w:eastAsia="宋体" w:cs="宋体"/>
          <w:sz w:val="28"/>
          <w:szCs w:val="28"/>
        </w:rPr>
      </w:pPr>
      <w:r>
        <w:rPr>
          <w:rFonts w:hint="eastAsia" w:ascii="宋体" w:hAnsi="宋体" w:eastAsia="宋体" w:cs="宋体"/>
          <w:color w:val="auto"/>
          <w:sz w:val="28"/>
          <w:szCs w:val="44"/>
          <w:highlight w:val="none"/>
        </w:rPr>
        <w:fldChar w:fldCharType="begin"/>
      </w:r>
      <w:r>
        <w:rPr>
          <w:rFonts w:hint="eastAsia" w:ascii="宋体" w:hAnsi="宋体" w:eastAsia="宋体" w:cs="宋体"/>
          <w:sz w:val="28"/>
          <w:szCs w:val="44"/>
          <w:highlight w:val="none"/>
        </w:rPr>
        <w:instrText xml:space="preserve"> HYPERLINK \l _Toc13627 </w:instrText>
      </w:r>
      <w:r>
        <w:rPr>
          <w:rFonts w:hint="eastAsia" w:ascii="宋体" w:hAnsi="宋体" w:eastAsia="宋体" w:cs="宋体"/>
          <w:sz w:val="28"/>
          <w:szCs w:val="44"/>
          <w:highlight w:val="none"/>
        </w:rPr>
        <w:fldChar w:fldCharType="separate"/>
      </w:r>
      <w:r>
        <w:rPr>
          <w:rFonts w:hint="eastAsia" w:ascii="宋体" w:hAnsi="宋体" w:eastAsia="宋体" w:cs="宋体"/>
          <w:kern w:val="2"/>
          <w:sz w:val="28"/>
          <w:szCs w:val="40"/>
          <w:highlight w:val="none"/>
        </w:rPr>
        <w:t>第一章  竞争性磋商邀请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_Toc13627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color w:val="auto"/>
          <w:sz w:val="28"/>
          <w:szCs w:val="44"/>
          <w:highlight w:val="none"/>
        </w:rPr>
        <w:fldChar w:fldCharType="end"/>
      </w:r>
    </w:p>
    <w:p w14:paraId="62ACDB1E">
      <w:pPr>
        <w:pStyle w:val="22"/>
        <w:tabs>
          <w:tab w:val="right" w:leader="dot" w:pos="9524"/>
        </w:tabs>
        <w:rPr>
          <w:rFonts w:hint="eastAsia" w:ascii="宋体" w:hAnsi="宋体" w:eastAsia="宋体" w:cs="宋体"/>
          <w:sz w:val="28"/>
          <w:szCs w:val="28"/>
        </w:rPr>
      </w:pPr>
      <w:r>
        <w:rPr>
          <w:rFonts w:hint="eastAsia" w:ascii="宋体" w:hAnsi="宋体" w:eastAsia="宋体" w:cs="宋体"/>
          <w:color w:val="auto"/>
          <w:sz w:val="36"/>
          <w:szCs w:val="44"/>
          <w:highlight w:val="none"/>
        </w:rPr>
        <w:fldChar w:fldCharType="begin"/>
      </w:r>
      <w:r>
        <w:rPr>
          <w:rFonts w:hint="eastAsia" w:ascii="宋体" w:hAnsi="宋体" w:eastAsia="宋体" w:cs="宋体"/>
          <w:color w:val="auto"/>
          <w:sz w:val="36"/>
          <w:szCs w:val="44"/>
          <w:highlight w:val="none"/>
        </w:rPr>
        <w:instrText xml:space="preserve">TOC \o "1-1" \h \u </w:instrText>
      </w:r>
      <w:r>
        <w:rPr>
          <w:rFonts w:hint="eastAsia" w:ascii="宋体" w:hAnsi="宋体" w:eastAsia="宋体" w:cs="宋体"/>
          <w:color w:val="auto"/>
          <w:sz w:val="36"/>
          <w:szCs w:val="44"/>
          <w:highlight w:val="none"/>
        </w:rPr>
        <w:fldChar w:fldCharType="separate"/>
      </w:r>
      <w:r>
        <w:rPr>
          <w:rFonts w:hint="eastAsia" w:ascii="宋体" w:hAnsi="宋体" w:eastAsia="宋体" w:cs="宋体"/>
          <w:color w:val="auto"/>
          <w:sz w:val="28"/>
          <w:szCs w:val="44"/>
          <w:highlight w:val="none"/>
        </w:rPr>
        <w:fldChar w:fldCharType="begin"/>
      </w:r>
      <w:r>
        <w:rPr>
          <w:rFonts w:hint="eastAsia" w:ascii="宋体" w:hAnsi="宋体" w:eastAsia="宋体" w:cs="宋体"/>
          <w:sz w:val="28"/>
          <w:szCs w:val="44"/>
          <w:highlight w:val="none"/>
        </w:rPr>
        <w:instrText xml:space="preserve"> HYPERLINK \l _Toc27575 </w:instrText>
      </w:r>
      <w:r>
        <w:rPr>
          <w:rFonts w:hint="eastAsia" w:ascii="宋体" w:hAnsi="宋体" w:eastAsia="宋体" w:cs="宋体"/>
          <w:sz w:val="28"/>
          <w:szCs w:val="44"/>
          <w:highlight w:val="none"/>
        </w:rPr>
        <w:fldChar w:fldCharType="separate"/>
      </w:r>
      <w:r>
        <w:rPr>
          <w:rFonts w:hint="eastAsia" w:ascii="宋体" w:hAnsi="宋体" w:eastAsia="宋体" w:cs="宋体"/>
          <w:kern w:val="2"/>
          <w:sz w:val="28"/>
          <w:szCs w:val="40"/>
          <w:highlight w:val="none"/>
        </w:rPr>
        <w:t>第二章  供应商磋商须知</w:t>
      </w:r>
      <w:r>
        <w:rPr>
          <w:rFonts w:hint="eastAsia" w:ascii="宋体" w:hAnsi="宋体" w:eastAsia="宋体" w:cs="宋体"/>
          <w:sz w:val="28"/>
          <w:szCs w:val="28"/>
        </w:rPr>
        <w:tab/>
      </w:r>
      <w:r>
        <w:rPr>
          <w:rFonts w:hint="eastAsia" w:ascii="宋体" w:hAnsi="宋体" w:eastAsia="宋体" w:cs="宋体"/>
          <w:sz w:val="28"/>
          <w:szCs w:val="28"/>
          <w:lang w:val="en-US" w:eastAsia="zh-CN"/>
        </w:rPr>
        <w:t>5</w:t>
      </w:r>
      <w:r>
        <w:rPr>
          <w:rFonts w:hint="eastAsia" w:ascii="宋体" w:hAnsi="宋体" w:eastAsia="宋体" w:cs="宋体"/>
          <w:color w:val="auto"/>
          <w:sz w:val="28"/>
          <w:szCs w:val="44"/>
          <w:highlight w:val="none"/>
        </w:rPr>
        <w:fldChar w:fldCharType="end"/>
      </w:r>
    </w:p>
    <w:p w14:paraId="092C7E3E">
      <w:pPr>
        <w:pStyle w:val="22"/>
        <w:tabs>
          <w:tab w:val="right" w:leader="dot" w:pos="9524"/>
        </w:tabs>
        <w:rPr>
          <w:rFonts w:hint="eastAsia" w:ascii="宋体" w:hAnsi="宋体" w:eastAsia="宋体" w:cs="宋体"/>
          <w:sz w:val="28"/>
          <w:szCs w:val="28"/>
          <w:lang w:val="en-US" w:eastAsia="zh-CN"/>
        </w:rPr>
      </w:pPr>
      <w:r>
        <w:rPr>
          <w:rFonts w:hint="eastAsia" w:ascii="宋体" w:hAnsi="宋体" w:eastAsia="宋体" w:cs="宋体"/>
          <w:color w:val="auto"/>
          <w:sz w:val="28"/>
          <w:szCs w:val="44"/>
          <w:highlight w:val="none"/>
        </w:rPr>
        <w:fldChar w:fldCharType="begin"/>
      </w:r>
      <w:r>
        <w:rPr>
          <w:rFonts w:hint="eastAsia" w:ascii="宋体" w:hAnsi="宋体" w:eastAsia="宋体" w:cs="宋体"/>
          <w:sz w:val="28"/>
          <w:szCs w:val="44"/>
          <w:highlight w:val="none"/>
        </w:rPr>
        <w:instrText xml:space="preserve"> HYPERLINK \l _Toc2808 </w:instrText>
      </w:r>
      <w:r>
        <w:rPr>
          <w:rFonts w:hint="eastAsia" w:ascii="宋体" w:hAnsi="宋体" w:eastAsia="宋体" w:cs="宋体"/>
          <w:sz w:val="28"/>
          <w:szCs w:val="44"/>
          <w:highlight w:val="none"/>
        </w:rPr>
        <w:fldChar w:fldCharType="separate"/>
      </w:r>
      <w:r>
        <w:rPr>
          <w:rFonts w:hint="eastAsia" w:ascii="宋体" w:hAnsi="宋体" w:eastAsia="宋体" w:cs="宋体"/>
          <w:sz w:val="28"/>
          <w:szCs w:val="40"/>
          <w:highlight w:val="none"/>
        </w:rPr>
        <w:t>第三章  供应商资格条件要求</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color w:val="auto"/>
          <w:sz w:val="28"/>
          <w:szCs w:val="44"/>
          <w:highlight w:val="none"/>
        </w:rPr>
        <w:fldChar w:fldCharType="end"/>
      </w:r>
      <w:r>
        <w:rPr>
          <w:rFonts w:hint="eastAsia" w:ascii="宋体" w:hAnsi="宋体" w:eastAsia="宋体" w:cs="宋体"/>
          <w:color w:val="auto"/>
          <w:sz w:val="28"/>
          <w:szCs w:val="44"/>
          <w:highlight w:val="none"/>
          <w:lang w:val="en-US" w:eastAsia="zh-CN"/>
        </w:rPr>
        <w:t>7</w:t>
      </w:r>
    </w:p>
    <w:p w14:paraId="08E9BB88">
      <w:pPr>
        <w:pStyle w:val="22"/>
        <w:tabs>
          <w:tab w:val="right" w:leader="dot" w:pos="9524"/>
        </w:tabs>
        <w:rPr>
          <w:rFonts w:hint="eastAsia" w:ascii="宋体" w:hAnsi="宋体" w:eastAsia="宋体" w:cs="宋体"/>
          <w:sz w:val="28"/>
          <w:szCs w:val="28"/>
          <w:lang w:val="en-US" w:eastAsia="zh-CN"/>
        </w:rPr>
      </w:pPr>
      <w:r>
        <w:rPr>
          <w:rFonts w:hint="eastAsia" w:ascii="宋体" w:hAnsi="宋体" w:eastAsia="宋体" w:cs="宋体"/>
          <w:color w:val="auto"/>
          <w:sz w:val="28"/>
          <w:szCs w:val="44"/>
          <w:highlight w:val="none"/>
        </w:rPr>
        <w:fldChar w:fldCharType="begin"/>
      </w:r>
      <w:r>
        <w:rPr>
          <w:rFonts w:hint="eastAsia" w:ascii="宋体" w:hAnsi="宋体" w:eastAsia="宋体" w:cs="宋体"/>
          <w:sz w:val="28"/>
          <w:szCs w:val="44"/>
          <w:highlight w:val="none"/>
        </w:rPr>
        <w:instrText xml:space="preserve"> HYPERLINK \l _Toc18951 </w:instrText>
      </w:r>
      <w:r>
        <w:rPr>
          <w:rFonts w:hint="eastAsia" w:ascii="宋体" w:hAnsi="宋体" w:eastAsia="宋体" w:cs="宋体"/>
          <w:sz w:val="28"/>
          <w:szCs w:val="44"/>
          <w:highlight w:val="none"/>
        </w:rPr>
        <w:fldChar w:fldCharType="separate"/>
      </w:r>
      <w:r>
        <w:rPr>
          <w:rFonts w:hint="eastAsia" w:ascii="宋体" w:hAnsi="宋体" w:eastAsia="宋体" w:cs="宋体"/>
          <w:sz w:val="28"/>
          <w:szCs w:val="40"/>
          <w:highlight w:val="none"/>
        </w:rPr>
        <w:t>第四章  供应商资格证明材料</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color w:val="auto"/>
          <w:sz w:val="28"/>
          <w:szCs w:val="44"/>
          <w:highlight w:val="none"/>
        </w:rPr>
        <w:fldChar w:fldCharType="end"/>
      </w:r>
      <w:r>
        <w:rPr>
          <w:rFonts w:hint="eastAsia" w:ascii="宋体" w:hAnsi="宋体" w:eastAsia="宋体" w:cs="宋体"/>
          <w:color w:val="auto"/>
          <w:sz w:val="28"/>
          <w:szCs w:val="44"/>
          <w:highlight w:val="none"/>
          <w:lang w:val="en-US" w:eastAsia="zh-CN"/>
        </w:rPr>
        <w:t>8</w:t>
      </w:r>
    </w:p>
    <w:p w14:paraId="32BEFDDA">
      <w:pPr>
        <w:pStyle w:val="22"/>
        <w:tabs>
          <w:tab w:val="right" w:leader="dot" w:pos="9524"/>
        </w:tabs>
        <w:rPr>
          <w:rFonts w:hint="eastAsia" w:ascii="宋体" w:hAnsi="宋体" w:eastAsia="宋体" w:cs="宋体"/>
          <w:sz w:val="28"/>
          <w:szCs w:val="28"/>
          <w:lang w:val="en-US" w:eastAsia="zh-CN"/>
        </w:rPr>
      </w:pPr>
      <w:r>
        <w:rPr>
          <w:rFonts w:hint="eastAsia" w:ascii="宋体" w:hAnsi="宋体" w:eastAsia="宋体" w:cs="宋体"/>
          <w:color w:val="auto"/>
          <w:sz w:val="28"/>
          <w:szCs w:val="44"/>
          <w:highlight w:val="none"/>
        </w:rPr>
        <w:fldChar w:fldCharType="begin"/>
      </w:r>
      <w:r>
        <w:rPr>
          <w:rFonts w:hint="eastAsia" w:ascii="宋体" w:hAnsi="宋体" w:eastAsia="宋体" w:cs="宋体"/>
          <w:sz w:val="28"/>
          <w:szCs w:val="44"/>
          <w:highlight w:val="none"/>
        </w:rPr>
        <w:instrText xml:space="preserve"> HYPERLINK \l _Toc18322 </w:instrText>
      </w:r>
      <w:r>
        <w:rPr>
          <w:rFonts w:hint="eastAsia" w:ascii="宋体" w:hAnsi="宋体" w:eastAsia="宋体" w:cs="宋体"/>
          <w:sz w:val="28"/>
          <w:szCs w:val="44"/>
          <w:highlight w:val="none"/>
        </w:rPr>
        <w:fldChar w:fldCharType="separate"/>
      </w:r>
      <w:r>
        <w:rPr>
          <w:rFonts w:hint="eastAsia" w:ascii="宋体" w:hAnsi="宋体" w:eastAsia="宋体" w:cs="宋体"/>
          <w:spacing w:val="-20"/>
          <w:sz w:val="28"/>
          <w:szCs w:val="40"/>
          <w:highlight w:val="none"/>
        </w:rPr>
        <w:t>第五章  采购项目技术、服务、政府采购履约主要条款及其他商务要求</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color w:val="auto"/>
          <w:sz w:val="28"/>
          <w:szCs w:val="44"/>
          <w:highlight w:val="none"/>
        </w:rPr>
        <w:fldChar w:fldCharType="end"/>
      </w:r>
      <w:r>
        <w:rPr>
          <w:rFonts w:hint="eastAsia" w:ascii="宋体" w:hAnsi="宋体" w:eastAsia="宋体" w:cs="宋体"/>
          <w:color w:val="auto"/>
          <w:sz w:val="28"/>
          <w:szCs w:val="44"/>
          <w:highlight w:val="none"/>
          <w:lang w:val="en-US" w:eastAsia="zh-CN"/>
        </w:rPr>
        <w:t>9</w:t>
      </w:r>
    </w:p>
    <w:p w14:paraId="2A0A0769">
      <w:pPr>
        <w:pStyle w:val="22"/>
        <w:tabs>
          <w:tab w:val="right" w:leader="dot" w:pos="9524"/>
        </w:tabs>
        <w:rPr>
          <w:rFonts w:hint="eastAsia" w:ascii="宋体" w:hAnsi="宋体" w:eastAsia="宋体" w:cs="宋体"/>
          <w:sz w:val="28"/>
          <w:szCs w:val="28"/>
        </w:rPr>
      </w:pPr>
      <w:r>
        <w:rPr>
          <w:rFonts w:hint="eastAsia" w:ascii="宋体" w:hAnsi="宋体" w:eastAsia="宋体" w:cs="宋体"/>
          <w:color w:val="auto"/>
          <w:sz w:val="28"/>
          <w:szCs w:val="44"/>
          <w:highlight w:val="none"/>
        </w:rPr>
        <w:fldChar w:fldCharType="begin"/>
      </w:r>
      <w:r>
        <w:rPr>
          <w:rFonts w:hint="eastAsia" w:ascii="宋体" w:hAnsi="宋体" w:eastAsia="宋体" w:cs="宋体"/>
          <w:sz w:val="28"/>
          <w:szCs w:val="44"/>
          <w:highlight w:val="none"/>
        </w:rPr>
        <w:instrText xml:space="preserve"> HYPERLINK \l _Toc11065 </w:instrText>
      </w:r>
      <w:r>
        <w:rPr>
          <w:rFonts w:hint="eastAsia" w:ascii="宋体" w:hAnsi="宋体" w:eastAsia="宋体" w:cs="宋体"/>
          <w:sz w:val="28"/>
          <w:szCs w:val="44"/>
          <w:highlight w:val="none"/>
        </w:rPr>
        <w:fldChar w:fldCharType="separate"/>
      </w:r>
      <w:r>
        <w:rPr>
          <w:rFonts w:hint="eastAsia" w:ascii="宋体" w:hAnsi="宋体" w:eastAsia="宋体" w:cs="宋体"/>
          <w:sz w:val="28"/>
          <w:szCs w:val="40"/>
          <w:highlight w:val="none"/>
        </w:rPr>
        <w:t>第六章  采购项目实质性要求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_Toc11065 \h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color w:val="auto"/>
          <w:sz w:val="28"/>
          <w:szCs w:val="44"/>
          <w:highlight w:val="none"/>
        </w:rPr>
        <w:fldChar w:fldCharType="end"/>
      </w:r>
    </w:p>
    <w:p w14:paraId="473CDCAD">
      <w:pPr>
        <w:pStyle w:val="22"/>
        <w:tabs>
          <w:tab w:val="right" w:leader="dot" w:pos="9524"/>
        </w:tabs>
        <w:rPr>
          <w:rFonts w:hint="eastAsia" w:ascii="宋体" w:hAnsi="宋体" w:eastAsia="宋体" w:cs="宋体"/>
          <w:sz w:val="28"/>
          <w:szCs w:val="28"/>
        </w:rPr>
      </w:pPr>
      <w:r>
        <w:rPr>
          <w:rFonts w:hint="eastAsia" w:ascii="宋体" w:hAnsi="宋体" w:eastAsia="宋体" w:cs="宋体"/>
          <w:color w:val="auto"/>
          <w:sz w:val="28"/>
          <w:szCs w:val="44"/>
          <w:highlight w:val="none"/>
        </w:rPr>
        <w:fldChar w:fldCharType="begin"/>
      </w:r>
      <w:r>
        <w:rPr>
          <w:rFonts w:hint="eastAsia" w:ascii="宋体" w:hAnsi="宋体" w:eastAsia="宋体" w:cs="宋体"/>
          <w:sz w:val="28"/>
          <w:szCs w:val="44"/>
          <w:highlight w:val="none"/>
        </w:rPr>
        <w:instrText xml:space="preserve"> HYPERLINK \l _Toc1567 </w:instrText>
      </w:r>
      <w:r>
        <w:rPr>
          <w:rFonts w:hint="eastAsia" w:ascii="宋体" w:hAnsi="宋体" w:eastAsia="宋体" w:cs="宋体"/>
          <w:sz w:val="28"/>
          <w:szCs w:val="44"/>
          <w:highlight w:val="none"/>
        </w:rPr>
        <w:fldChar w:fldCharType="separate"/>
      </w:r>
      <w:r>
        <w:rPr>
          <w:rFonts w:hint="eastAsia" w:ascii="宋体" w:hAnsi="宋体" w:eastAsia="宋体" w:cs="宋体"/>
          <w:sz w:val="28"/>
          <w:szCs w:val="40"/>
          <w:highlight w:val="none"/>
        </w:rPr>
        <w:t>第七章  磋商内容、磋商过程中可实质性变动的内容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_Toc1567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color w:val="auto"/>
          <w:sz w:val="28"/>
          <w:szCs w:val="44"/>
          <w:highlight w:val="none"/>
        </w:rPr>
        <w:fldChar w:fldCharType="end"/>
      </w:r>
    </w:p>
    <w:p w14:paraId="74C34F93">
      <w:pPr>
        <w:pStyle w:val="22"/>
        <w:tabs>
          <w:tab w:val="right" w:leader="dot" w:pos="9524"/>
        </w:tabs>
        <w:rPr>
          <w:rFonts w:hint="eastAsia" w:ascii="宋体" w:hAnsi="宋体" w:eastAsia="宋体" w:cs="宋体"/>
          <w:sz w:val="28"/>
          <w:szCs w:val="28"/>
        </w:rPr>
      </w:pPr>
      <w:r>
        <w:rPr>
          <w:rFonts w:hint="eastAsia" w:ascii="宋体" w:hAnsi="宋体" w:eastAsia="宋体" w:cs="宋体"/>
          <w:color w:val="auto"/>
          <w:sz w:val="28"/>
          <w:szCs w:val="44"/>
          <w:highlight w:val="none"/>
        </w:rPr>
        <w:fldChar w:fldCharType="begin"/>
      </w:r>
      <w:r>
        <w:rPr>
          <w:rFonts w:hint="eastAsia" w:ascii="宋体" w:hAnsi="宋体" w:eastAsia="宋体" w:cs="宋体"/>
          <w:sz w:val="28"/>
          <w:szCs w:val="44"/>
          <w:highlight w:val="none"/>
        </w:rPr>
        <w:instrText xml:space="preserve"> HYPERLINK \l _Toc21450 </w:instrText>
      </w:r>
      <w:r>
        <w:rPr>
          <w:rFonts w:hint="eastAsia" w:ascii="宋体" w:hAnsi="宋体" w:eastAsia="宋体" w:cs="宋体"/>
          <w:sz w:val="28"/>
          <w:szCs w:val="44"/>
          <w:highlight w:val="none"/>
        </w:rPr>
        <w:fldChar w:fldCharType="separate"/>
      </w:r>
      <w:r>
        <w:rPr>
          <w:rFonts w:hint="eastAsia" w:ascii="宋体" w:hAnsi="宋体" w:eastAsia="宋体" w:cs="宋体"/>
          <w:sz w:val="28"/>
          <w:szCs w:val="40"/>
          <w:highlight w:val="none"/>
        </w:rPr>
        <w:t>第八章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_Toc21450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color w:val="auto"/>
          <w:sz w:val="28"/>
          <w:szCs w:val="44"/>
          <w:highlight w:val="none"/>
        </w:rPr>
        <w:fldChar w:fldCharType="end"/>
      </w:r>
    </w:p>
    <w:p w14:paraId="3E97C800">
      <w:pPr>
        <w:pStyle w:val="22"/>
        <w:tabs>
          <w:tab w:val="right" w:leader="dot" w:pos="9524"/>
        </w:tabs>
        <w:rPr>
          <w:rFonts w:hint="eastAsia" w:ascii="宋体" w:hAnsi="宋体" w:eastAsia="宋体" w:cs="宋体"/>
          <w:sz w:val="28"/>
          <w:szCs w:val="28"/>
          <w:lang w:val="en-US" w:eastAsia="zh-CN"/>
        </w:rPr>
      </w:pPr>
      <w:r>
        <w:rPr>
          <w:rFonts w:hint="eastAsia" w:ascii="宋体" w:hAnsi="宋体" w:eastAsia="宋体" w:cs="宋体"/>
          <w:color w:val="auto"/>
          <w:sz w:val="28"/>
          <w:szCs w:val="44"/>
          <w:highlight w:val="none"/>
        </w:rPr>
        <w:fldChar w:fldCharType="begin"/>
      </w:r>
      <w:r>
        <w:rPr>
          <w:rFonts w:hint="eastAsia" w:ascii="宋体" w:hAnsi="宋体" w:eastAsia="宋体" w:cs="宋体"/>
          <w:sz w:val="28"/>
          <w:szCs w:val="44"/>
          <w:highlight w:val="none"/>
        </w:rPr>
        <w:instrText xml:space="preserve"> HYPERLINK \l _Toc16351 </w:instrText>
      </w:r>
      <w:r>
        <w:rPr>
          <w:rFonts w:hint="eastAsia" w:ascii="宋体" w:hAnsi="宋体" w:eastAsia="宋体" w:cs="宋体"/>
          <w:sz w:val="28"/>
          <w:szCs w:val="44"/>
          <w:highlight w:val="none"/>
        </w:rPr>
        <w:fldChar w:fldCharType="separate"/>
      </w:r>
      <w:r>
        <w:rPr>
          <w:rFonts w:hint="eastAsia" w:ascii="宋体" w:hAnsi="宋体" w:eastAsia="宋体" w:cs="宋体"/>
          <w:sz w:val="28"/>
          <w:szCs w:val="40"/>
          <w:highlight w:val="none"/>
        </w:rPr>
        <w:t>第九章  评审方法</w:t>
      </w:r>
      <w:r>
        <w:rPr>
          <w:rFonts w:hint="eastAsia" w:ascii="宋体" w:hAnsi="宋体" w:eastAsia="宋体" w:cs="宋体"/>
          <w:sz w:val="28"/>
          <w:szCs w:val="28"/>
        </w:rPr>
        <w:tab/>
      </w:r>
      <w:r>
        <w:rPr>
          <w:rFonts w:hint="eastAsia" w:ascii="宋体" w:hAnsi="宋体" w:eastAsia="宋体" w:cs="宋体"/>
          <w:sz w:val="28"/>
          <w:szCs w:val="28"/>
          <w:lang w:val="en-US" w:eastAsia="zh-CN"/>
        </w:rPr>
        <w:t>3</w:t>
      </w:r>
      <w:r>
        <w:rPr>
          <w:rFonts w:hint="eastAsia" w:ascii="宋体" w:hAnsi="宋体" w:eastAsia="宋体" w:cs="宋体"/>
          <w:color w:val="auto"/>
          <w:sz w:val="28"/>
          <w:szCs w:val="44"/>
          <w:highlight w:val="none"/>
        </w:rPr>
        <w:fldChar w:fldCharType="end"/>
      </w:r>
      <w:r>
        <w:rPr>
          <w:rFonts w:hint="eastAsia" w:ascii="宋体" w:hAnsi="宋体" w:eastAsia="宋体" w:cs="宋体"/>
          <w:color w:val="auto"/>
          <w:sz w:val="28"/>
          <w:szCs w:val="44"/>
          <w:highlight w:val="none"/>
          <w:lang w:val="en-US" w:eastAsia="zh-CN"/>
        </w:rPr>
        <w:t>9</w:t>
      </w:r>
    </w:p>
    <w:p w14:paraId="3D4D9CC5">
      <w:pPr>
        <w:pStyle w:val="22"/>
        <w:tabs>
          <w:tab w:val="right" w:leader="dot" w:pos="9524"/>
        </w:tabs>
        <w:rPr>
          <w:rFonts w:hint="eastAsia" w:ascii="宋体" w:hAnsi="宋体" w:eastAsia="宋体" w:cs="宋体"/>
          <w:sz w:val="28"/>
          <w:szCs w:val="28"/>
          <w:lang w:val="en-US" w:eastAsia="zh-CN"/>
        </w:rPr>
      </w:pPr>
      <w:r>
        <w:rPr>
          <w:rFonts w:hint="eastAsia" w:ascii="宋体" w:hAnsi="宋体" w:eastAsia="宋体" w:cs="宋体"/>
          <w:color w:val="auto"/>
          <w:sz w:val="28"/>
          <w:szCs w:val="44"/>
          <w:highlight w:val="none"/>
        </w:rPr>
        <w:fldChar w:fldCharType="begin"/>
      </w:r>
      <w:r>
        <w:rPr>
          <w:rFonts w:hint="eastAsia" w:ascii="宋体" w:hAnsi="宋体" w:eastAsia="宋体" w:cs="宋体"/>
          <w:sz w:val="28"/>
          <w:szCs w:val="44"/>
          <w:highlight w:val="none"/>
        </w:rPr>
        <w:instrText xml:space="preserve"> HYPERLINK \l _Toc27601 </w:instrText>
      </w:r>
      <w:r>
        <w:rPr>
          <w:rFonts w:hint="eastAsia" w:ascii="宋体" w:hAnsi="宋体" w:eastAsia="宋体" w:cs="宋体"/>
          <w:sz w:val="28"/>
          <w:szCs w:val="44"/>
          <w:highlight w:val="none"/>
        </w:rPr>
        <w:fldChar w:fldCharType="separate"/>
      </w:r>
      <w:r>
        <w:rPr>
          <w:rFonts w:hint="eastAsia" w:ascii="宋体" w:hAnsi="宋体" w:eastAsia="宋体" w:cs="宋体"/>
          <w:sz w:val="28"/>
          <w:szCs w:val="40"/>
          <w:highlight w:val="none"/>
        </w:rPr>
        <w:t>第十章  采购合同(草案)</w:t>
      </w:r>
      <w:r>
        <w:rPr>
          <w:rFonts w:hint="eastAsia" w:ascii="宋体" w:hAnsi="宋体" w:eastAsia="宋体" w:cs="宋体"/>
          <w:sz w:val="28"/>
          <w:szCs w:val="28"/>
        </w:rPr>
        <w:tab/>
      </w:r>
      <w:r>
        <w:rPr>
          <w:rFonts w:hint="eastAsia" w:ascii="宋体" w:hAnsi="宋体" w:eastAsia="宋体" w:cs="宋体"/>
          <w:sz w:val="28"/>
          <w:szCs w:val="28"/>
          <w:lang w:val="en-US" w:eastAsia="zh-CN"/>
        </w:rPr>
        <w:t>4</w:t>
      </w:r>
      <w:r>
        <w:rPr>
          <w:rFonts w:hint="eastAsia" w:ascii="宋体" w:hAnsi="宋体" w:eastAsia="宋体" w:cs="宋体"/>
          <w:color w:val="auto"/>
          <w:sz w:val="28"/>
          <w:szCs w:val="44"/>
          <w:highlight w:val="none"/>
        </w:rPr>
        <w:fldChar w:fldCharType="end"/>
      </w:r>
      <w:r>
        <w:rPr>
          <w:rFonts w:hint="eastAsia" w:ascii="宋体" w:hAnsi="宋体" w:eastAsia="宋体" w:cs="宋体"/>
          <w:color w:val="auto"/>
          <w:sz w:val="28"/>
          <w:szCs w:val="44"/>
          <w:highlight w:val="none"/>
          <w:lang w:val="en-US" w:eastAsia="zh-CN"/>
        </w:rPr>
        <w:t>6</w:t>
      </w:r>
    </w:p>
    <w:p w14:paraId="047F2630">
      <w:pPr>
        <w:rPr>
          <w:rFonts w:hint="eastAsia" w:ascii="宋体" w:hAnsi="宋体" w:cs="宋体"/>
          <w:color w:val="auto"/>
          <w:szCs w:val="28"/>
          <w:highlight w:val="none"/>
        </w:rPr>
      </w:pPr>
      <w:r>
        <w:rPr>
          <w:rFonts w:hint="eastAsia" w:ascii="宋体" w:hAnsi="宋体" w:eastAsia="宋体" w:cs="宋体"/>
          <w:color w:val="auto"/>
          <w:sz w:val="24"/>
          <w:szCs w:val="44"/>
          <w:highlight w:val="none"/>
        </w:rPr>
        <w:fldChar w:fldCharType="end"/>
      </w:r>
    </w:p>
    <w:p w14:paraId="2A15BD2A">
      <w:pPr>
        <w:adjustRightInd w:val="0"/>
        <w:snapToGrid w:val="0"/>
        <w:spacing w:line="360" w:lineRule="auto"/>
        <w:jc w:val="left"/>
        <w:rPr>
          <w:rFonts w:hint="eastAsia" w:ascii="宋体" w:hAnsi="宋体" w:cs="宋体"/>
          <w:color w:val="auto"/>
          <w:sz w:val="24"/>
          <w:highlight w:val="none"/>
        </w:rPr>
      </w:pPr>
      <w:bookmarkStart w:id="1" w:name="_Toc32693"/>
      <w:bookmarkStart w:id="2" w:name="_Toc18645"/>
      <w:bookmarkStart w:id="3" w:name="_Toc11224"/>
    </w:p>
    <w:p w14:paraId="693E3D1A">
      <w:pPr>
        <w:pStyle w:val="29"/>
        <w:widowControl w:val="0"/>
        <w:adjustRightInd w:val="0"/>
        <w:snapToGrid w:val="0"/>
        <w:spacing w:before="0" w:beforeAutospacing="0" w:after="0" w:afterAutospacing="0" w:line="360" w:lineRule="auto"/>
        <w:ind w:firstLine="360" w:firstLineChars="150"/>
        <w:jc w:val="center"/>
        <w:outlineLvl w:val="0"/>
        <w:rPr>
          <w:rFonts w:hint="eastAsia" w:cs="宋体"/>
          <w:b/>
          <w:color w:val="auto"/>
          <w:highlight w:val="none"/>
        </w:rPr>
      </w:pPr>
      <w:r>
        <w:rPr>
          <w:rFonts w:hint="eastAsia" w:cs="宋体"/>
          <w:color w:val="auto"/>
          <w:sz w:val="24"/>
          <w:highlight w:val="none"/>
        </w:rPr>
        <w:br w:type="page"/>
      </w:r>
      <w:bookmarkStart w:id="4" w:name="_Toc13627"/>
      <w:bookmarkStart w:id="5" w:name="_Toc19760"/>
      <w:bookmarkStart w:id="6" w:name="_Toc13958"/>
      <w:bookmarkStart w:id="7" w:name="_Toc6819"/>
      <w:bookmarkStart w:id="8" w:name="_Toc20022"/>
      <w:bookmarkStart w:id="9" w:name="_Toc401657600"/>
      <w:bookmarkStart w:id="10" w:name="_Toc32144"/>
      <w:r>
        <w:rPr>
          <w:rFonts w:hint="eastAsia" w:cs="宋体"/>
          <w:b/>
          <w:color w:val="auto"/>
          <w:kern w:val="2"/>
          <w:sz w:val="32"/>
          <w:szCs w:val="32"/>
          <w:highlight w:val="none"/>
        </w:rPr>
        <w:t>第一章  竞争性磋商邀请</w:t>
      </w:r>
      <w:bookmarkEnd w:id="1"/>
      <w:bookmarkEnd w:id="2"/>
      <w:bookmarkEnd w:id="3"/>
      <w:bookmarkEnd w:id="4"/>
      <w:bookmarkEnd w:id="5"/>
      <w:bookmarkEnd w:id="6"/>
      <w:bookmarkEnd w:id="7"/>
      <w:bookmarkEnd w:id="8"/>
      <w:bookmarkEnd w:id="9"/>
      <w:bookmarkEnd w:id="10"/>
    </w:p>
    <w:p w14:paraId="66DDF230">
      <w:pPr>
        <w:overflowPunct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eastAsia="zh-CN"/>
        </w:rPr>
        <w:t>四川信息职业技术学院工程造价咨询服务采购项目</w:t>
      </w:r>
      <w:r>
        <w:rPr>
          <w:rFonts w:hint="eastAsia" w:ascii="宋体" w:hAnsi="宋体" w:cs="宋体"/>
          <w:bCs/>
          <w:sz w:val="24"/>
        </w:rPr>
        <w:t>参照政府采</w:t>
      </w:r>
      <w:r>
        <w:rPr>
          <w:rFonts w:hint="eastAsia" w:ascii="宋体" w:hAnsi="宋体" w:cs="宋体"/>
          <w:bCs/>
          <w:sz w:val="24"/>
          <w:lang w:eastAsia="zh-CN"/>
        </w:rPr>
        <w:t>购</w:t>
      </w:r>
      <w:r>
        <w:rPr>
          <w:rFonts w:hint="eastAsia" w:ascii="宋体" w:hAnsi="宋体" w:cs="宋体"/>
          <w:color w:val="auto"/>
          <w:sz w:val="24"/>
          <w:highlight w:val="none"/>
        </w:rPr>
        <w:t>竞争性磋商方式进行采购，特邀请符合本次采购要求的供应商参加本项目的竞争性磋商。</w:t>
      </w:r>
    </w:p>
    <w:p w14:paraId="7E55F298">
      <w:pPr>
        <w:overflowPunct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一、采购项目基本情况</w:t>
      </w:r>
    </w:p>
    <w:p w14:paraId="4F0BB0D9">
      <w:pPr>
        <w:overflowPunct w:val="0"/>
        <w:spacing w:line="360" w:lineRule="auto"/>
        <w:ind w:firstLine="480" w:firstLineChars="200"/>
        <w:rPr>
          <w:rFonts w:hint="eastAsia" w:ascii="宋体" w:hAnsi="宋体" w:cs="宋体"/>
          <w:color w:val="auto"/>
          <w:sz w:val="24"/>
          <w:highlight w:val="cyan"/>
          <w:lang w:eastAsia="zh-CN"/>
        </w:rPr>
      </w:pPr>
      <w:r>
        <w:rPr>
          <w:rFonts w:hint="eastAsia" w:ascii="宋体" w:hAnsi="宋体" w:cs="宋体"/>
          <w:color w:val="auto"/>
          <w:sz w:val="24"/>
          <w:highlight w:val="none"/>
        </w:rPr>
        <w:t>1.项目编号：</w:t>
      </w:r>
      <w:r>
        <w:rPr>
          <w:rFonts w:hint="eastAsia" w:ascii="宋体" w:hAnsi="宋体" w:cs="宋体"/>
          <w:color w:val="auto"/>
          <w:sz w:val="24"/>
          <w:highlight w:val="none"/>
          <w:lang w:eastAsia="zh-CN"/>
        </w:rPr>
        <w:t>202607SJ002</w:t>
      </w:r>
    </w:p>
    <w:p w14:paraId="0F6E8DDD">
      <w:pPr>
        <w:overflowPunct w:val="0"/>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四川信息职业技术学院工程造价咨询服务采购项目</w:t>
      </w:r>
    </w:p>
    <w:p w14:paraId="4849636D">
      <w:pPr>
        <w:overflowPunct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3.采购人：</w:t>
      </w:r>
      <w:r>
        <w:rPr>
          <w:rFonts w:hint="eastAsia" w:ascii="宋体" w:hAnsi="宋体" w:cs="宋体"/>
          <w:color w:val="auto"/>
          <w:sz w:val="24"/>
          <w:highlight w:val="none"/>
          <w:lang w:eastAsia="zh-CN"/>
        </w:rPr>
        <w:t>四川信息职业技术学院</w:t>
      </w:r>
    </w:p>
    <w:p w14:paraId="78365524">
      <w:pPr>
        <w:overflowPunct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二、资金情况</w:t>
      </w:r>
    </w:p>
    <w:p w14:paraId="740A2EC6">
      <w:pPr>
        <w:overflowPunct w:val="0"/>
        <w:spacing w:line="360" w:lineRule="auto"/>
        <w:ind w:firstLine="480" w:firstLineChars="200"/>
        <w:rPr>
          <w:rFonts w:hint="eastAsia" w:ascii="宋体" w:hAnsi="宋体" w:eastAsia="宋体" w:cs="宋体"/>
          <w:b w:val="0"/>
          <w:bCs w:val="0"/>
          <w:color w:val="auto"/>
          <w:sz w:val="24"/>
          <w:highlight w:val="none"/>
          <w:lang w:val="en" w:eastAsia="zh-CN"/>
        </w:rPr>
      </w:pPr>
      <w:r>
        <w:rPr>
          <w:rFonts w:hint="eastAsia" w:ascii="宋体" w:hAnsi="宋体" w:cs="宋体"/>
          <w:b w:val="0"/>
          <w:bCs w:val="0"/>
          <w:color w:val="auto"/>
          <w:sz w:val="24"/>
          <w:highlight w:val="none"/>
        </w:rPr>
        <w:t>资金预算：</w:t>
      </w:r>
      <w:r>
        <w:rPr>
          <w:rFonts w:hint="eastAsia" w:ascii="宋体" w:hAnsi="宋体" w:eastAsia="宋体" w:cs="宋体"/>
          <w:b w:val="0"/>
          <w:bCs w:val="0"/>
          <w:color w:val="auto"/>
          <w:sz w:val="24"/>
          <w:highlight w:val="none"/>
          <w:lang w:val="en" w:eastAsia="zh-CN"/>
        </w:rPr>
        <w:t>与采购预算（最高响应限价）保持一致，依据川价发〔2008〕141 号文对应服务基准收费标准下浮 40% 计算。</w:t>
      </w:r>
    </w:p>
    <w:p w14:paraId="3020D045">
      <w:pPr>
        <w:overflowPunct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三</w:t>
      </w:r>
      <w:r>
        <w:rPr>
          <w:rFonts w:hint="eastAsia" w:ascii="宋体" w:hAnsi="宋体" w:cs="宋体"/>
          <w:b/>
          <w:bCs/>
          <w:color w:val="auto"/>
          <w:sz w:val="24"/>
          <w:highlight w:val="none"/>
        </w:rPr>
        <w:t>、采购项目简介</w:t>
      </w:r>
    </w:p>
    <w:p w14:paraId="4E8EF3A3">
      <w:pPr>
        <w:overflowPunct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详见磋商文件第五章。</w:t>
      </w:r>
    </w:p>
    <w:p w14:paraId="6031293A">
      <w:pPr>
        <w:overflowPunct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四、供应商邀请方式</w:t>
      </w:r>
    </w:p>
    <w:p w14:paraId="1FC3C1A4">
      <w:pPr>
        <w:overflowPunct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公告方式：本次竞争性磋商邀请邀请在四川信息职业技术学院（http://www.scitc.com.cn/）主页通知公告栏发布。</w:t>
      </w:r>
    </w:p>
    <w:p w14:paraId="4971FBAB">
      <w:pPr>
        <w:overflowPunct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五、供应商参加本次政府采购活动，应当在提交响应文件前具备下列条件：</w:t>
      </w:r>
    </w:p>
    <w:p w14:paraId="637F74C4">
      <w:pPr>
        <w:overflowPunct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1.符合《中华人民共和国政府采购法》第二十二条规定的供应商资格条件：</w:t>
      </w:r>
    </w:p>
    <w:p w14:paraId="176C3A63">
      <w:pPr>
        <w:overflowPunct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7EF0B8A2">
      <w:pPr>
        <w:overflowPunct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2A0ACE0">
      <w:pPr>
        <w:overflowPunct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66A05BCD">
      <w:pPr>
        <w:overflowPunct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AB78AD7">
      <w:pPr>
        <w:overflowPunct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（5）参加政府采购活动前三年内，在经营活动中没有违法记录</w:t>
      </w:r>
      <w:r>
        <w:rPr>
          <w:rFonts w:hint="eastAsia" w:ascii="宋体" w:hAnsi="宋体" w:cs="宋体"/>
          <w:color w:val="auto"/>
          <w:sz w:val="24"/>
          <w:highlight w:val="none"/>
          <w:lang w:eastAsia="zh-CN"/>
        </w:rPr>
        <w:t>；</w:t>
      </w:r>
    </w:p>
    <w:p w14:paraId="2DF61B45">
      <w:pPr>
        <w:overflowPunct w:val="0"/>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（6）法律、行政法规规定的其他条件</w:t>
      </w:r>
      <w:r>
        <w:rPr>
          <w:rFonts w:hint="eastAsia" w:ascii="宋体" w:hAnsi="宋体" w:cs="宋体"/>
          <w:bCs/>
          <w:color w:val="auto"/>
          <w:sz w:val="24"/>
          <w:highlight w:val="none"/>
          <w:lang w:eastAsia="zh-CN"/>
        </w:rPr>
        <w:t>。</w:t>
      </w:r>
    </w:p>
    <w:p w14:paraId="396E3CF7">
      <w:pPr>
        <w:overflowPunct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.本项目是否接受联合体投标：</w:t>
      </w:r>
      <w:r>
        <w:rPr>
          <w:rFonts w:hint="eastAsia" w:ascii="宋体" w:hAnsi="宋体" w:cs="宋体"/>
          <w:bCs/>
          <w:color w:val="auto"/>
          <w:sz w:val="24"/>
          <w:highlight w:val="none"/>
        </w:rPr>
        <w:sym w:font="Wingdings" w:char="00A8"/>
      </w:r>
      <w:r>
        <w:rPr>
          <w:rFonts w:hint="eastAsia" w:ascii="宋体" w:hAnsi="宋体" w:cs="宋体"/>
          <w:bCs/>
          <w:color w:val="auto"/>
          <w:sz w:val="24"/>
          <w:highlight w:val="none"/>
        </w:rPr>
        <w:t>是</w:t>
      </w:r>
      <w:r>
        <w:rPr>
          <w:rFonts w:hint="eastAsia" w:ascii="宋体" w:hAnsi="宋体" w:cs="宋体"/>
          <w:bCs/>
          <w:color w:val="auto"/>
          <w:sz w:val="24"/>
          <w:highlight w:val="none"/>
        </w:rPr>
        <w:sym w:font="Wingdings" w:char="00FE"/>
      </w:r>
      <w:r>
        <w:rPr>
          <w:rFonts w:hint="eastAsia" w:ascii="宋体" w:hAnsi="宋体" w:cs="宋体"/>
          <w:bCs/>
          <w:color w:val="auto"/>
          <w:sz w:val="24"/>
          <w:highlight w:val="none"/>
        </w:rPr>
        <w:t>否；</w:t>
      </w:r>
    </w:p>
    <w:p w14:paraId="516E6A01">
      <w:pPr>
        <w:spacing w:after="156" w:afterLines="5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.本项目是否专门面对中小企业：</w:t>
      </w:r>
      <w:r>
        <w:rPr>
          <w:rFonts w:hint="eastAsia" w:ascii="宋体" w:hAnsi="宋体" w:cs="宋体"/>
          <w:bCs/>
          <w:color w:val="auto"/>
          <w:sz w:val="24"/>
          <w:highlight w:val="none"/>
        </w:rPr>
        <w:sym w:font="Wingdings" w:char="00A8"/>
      </w:r>
      <w:r>
        <w:rPr>
          <w:rFonts w:hint="eastAsia" w:ascii="宋体" w:hAnsi="宋体" w:cs="宋体"/>
          <w:bCs/>
          <w:color w:val="auto"/>
          <w:sz w:val="24"/>
          <w:highlight w:val="none"/>
        </w:rPr>
        <w:t>是</w:t>
      </w:r>
      <w:r>
        <w:rPr>
          <w:rFonts w:hint="eastAsia" w:ascii="宋体" w:hAnsi="宋体" w:cs="宋体"/>
          <w:bCs/>
          <w:color w:val="auto"/>
          <w:sz w:val="24"/>
          <w:highlight w:val="none"/>
        </w:rPr>
        <w:sym w:font="Wingdings" w:char="00FE"/>
      </w:r>
      <w:r>
        <w:rPr>
          <w:rFonts w:hint="eastAsia" w:ascii="宋体" w:hAnsi="宋体" w:cs="宋体"/>
          <w:bCs/>
          <w:color w:val="auto"/>
          <w:sz w:val="24"/>
          <w:highlight w:val="none"/>
        </w:rPr>
        <w:t>否；</w:t>
      </w:r>
    </w:p>
    <w:p w14:paraId="3E672E3E">
      <w:pPr>
        <w:spacing w:after="156" w:afterLines="50" w:line="360" w:lineRule="auto"/>
        <w:ind w:firstLine="480" w:firstLineChars="200"/>
        <w:rPr>
          <w:rFonts w:hint="eastAsia"/>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17CBDCC5">
      <w:pPr>
        <w:pStyle w:val="66"/>
        <w:ind w:firstLine="561" w:firstLineChars="233"/>
        <w:rPr>
          <w:rFonts w:hint="eastAsia" w:ascii="宋体" w:hAnsi="宋体" w:cs="宋体"/>
          <w:b/>
          <w:color w:val="auto"/>
          <w:sz w:val="24"/>
          <w:highlight w:val="none"/>
        </w:rPr>
      </w:pPr>
      <w:r>
        <w:rPr>
          <w:rFonts w:hint="eastAsia" w:ascii="宋体" w:hAnsi="宋体" w:cs="宋体"/>
          <w:b/>
          <w:color w:val="auto"/>
          <w:sz w:val="24"/>
          <w:highlight w:val="none"/>
        </w:rPr>
        <w:t>六、禁止参加本次采购活动的供应商</w:t>
      </w:r>
    </w:p>
    <w:p w14:paraId="63255BAA">
      <w:pPr>
        <w:overflowPunct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根据《关于在政府采购活动中查询及使用信用记录有关问题的通知》（财库〔2016〕125号）的要求，采购代理机构将通过“中国执行信息公开网”网站（http://zxgk.court.gov.cn）、“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w:t>
      </w:r>
    </w:p>
    <w:p w14:paraId="46FE3679">
      <w:pPr>
        <w:overflowPunct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的供应商，不得参加本采购项目。供应商为采购人、采购代理机构在确定采购需求、编制磋商文件过程中提供咨询论证，其提供的咨询论证意见成为磋商文件中规定的供应商资格条件、技术服务商务要求、评审因素和标准、采购合同等实质性内容条款的，视同为采购项目提供规范编制。</w:t>
      </w:r>
    </w:p>
    <w:p w14:paraId="7E1858A8">
      <w:pPr>
        <w:overflowPunct w:val="0"/>
        <w:spacing w:line="360" w:lineRule="auto"/>
        <w:ind w:firstLine="482" w:firstLineChars="200"/>
        <w:rPr>
          <w:rFonts w:hint="eastAsia" w:ascii="宋体" w:hAnsi="宋体" w:cs="宋体"/>
          <w:color w:val="auto"/>
          <w:sz w:val="24"/>
          <w:highlight w:val="none"/>
        </w:rPr>
      </w:pPr>
      <w:bookmarkStart w:id="11" w:name="_Toc14893"/>
      <w:r>
        <w:rPr>
          <w:rFonts w:hint="eastAsia" w:ascii="宋体" w:hAnsi="宋体" w:cs="宋体"/>
          <w:b/>
          <w:bCs/>
          <w:color w:val="auto"/>
          <w:sz w:val="24"/>
          <w:highlight w:val="none"/>
        </w:rPr>
        <w:t>七、磋商文件获取方式、时间、地点</w:t>
      </w:r>
    </w:p>
    <w:p w14:paraId="7A8A26CB">
      <w:pPr>
        <w:overflowPunct w:val="0"/>
        <w:spacing w:line="360" w:lineRule="auto"/>
        <w:ind w:firstLine="480" w:firstLineChars="200"/>
        <w:rPr>
          <w:rFonts w:hint="eastAsia" w:ascii="宋体" w:hAnsi="宋体" w:cs="宋体"/>
          <w:color w:val="auto"/>
          <w:sz w:val="24"/>
          <w:szCs w:val="18"/>
          <w:highlight w:val="none"/>
        </w:rPr>
      </w:pPr>
      <w:r>
        <w:rPr>
          <w:rFonts w:hint="eastAsia" w:ascii="宋体" w:hAnsi="宋体" w:cs="宋体"/>
          <w:color w:val="auto"/>
          <w:sz w:val="24"/>
          <w:szCs w:val="18"/>
          <w:highlight w:val="none"/>
          <w:lang w:val="en-US" w:eastAsia="zh-CN"/>
        </w:rPr>
        <w:t>1.</w:t>
      </w:r>
      <w:r>
        <w:rPr>
          <w:rFonts w:hint="eastAsia" w:ascii="宋体" w:hAnsi="宋体" w:cs="宋体"/>
          <w:color w:val="auto"/>
          <w:sz w:val="24"/>
          <w:szCs w:val="18"/>
          <w:highlight w:val="none"/>
        </w:rPr>
        <w:t>获取时间：【202</w:t>
      </w:r>
      <w:r>
        <w:rPr>
          <w:rFonts w:hint="eastAsia" w:ascii="宋体" w:hAnsi="宋体" w:cs="宋体"/>
          <w:color w:val="auto"/>
          <w:sz w:val="24"/>
          <w:szCs w:val="18"/>
          <w:highlight w:val="none"/>
          <w:lang w:val="en-US" w:eastAsia="zh-CN"/>
        </w:rPr>
        <w:t>6</w:t>
      </w:r>
      <w:r>
        <w:rPr>
          <w:rFonts w:hint="eastAsia" w:ascii="宋体" w:hAnsi="宋体" w:cs="宋体"/>
          <w:color w:val="auto"/>
          <w:sz w:val="24"/>
          <w:szCs w:val="18"/>
          <w:highlight w:val="none"/>
        </w:rPr>
        <w:t xml:space="preserve"> 年</w:t>
      </w:r>
      <w:r>
        <w:rPr>
          <w:rFonts w:hint="eastAsia" w:ascii="宋体" w:hAnsi="宋体" w:cs="宋体"/>
          <w:color w:val="auto"/>
          <w:sz w:val="24"/>
          <w:szCs w:val="18"/>
          <w:highlight w:val="none"/>
          <w:lang w:val="en-US" w:eastAsia="zh-CN"/>
        </w:rPr>
        <w:t>7</w:t>
      </w:r>
      <w:r>
        <w:rPr>
          <w:rFonts w:hint="eastAsia" w:ascii="宋体" w:hAnsi="宋体" w:cs="宋体"/>
          <w:color w:val="auto"/>
          <w:sz w:val="24"/>
          <w:szCs w:val="18"/>
          <w:highlight w:val="none"/>
        </w:rPr>
        <w:t>月</w:t>
      </w:r>
      <w:r>
        <w:rPr>
          <w:rFonts w:hint="eastAsia" w:ascii="宋体" w:hAnsi="宋体" w:cs="宋体"/>
          <w:color w:val="auto"/>
          <w:sz w:val="24"/>
          <w:szCs w:val="18"/>
          <w:highlight w:val="none"/>
          <w:lang w:val="en-US" w:eastAsia="zh-CN"/>
        </w:rPr>
        <w:t>10</w:t>
      </w:r>
      <w:r>
        <w:rPr>
          <w:rFonts w:hint="eastAsia" w:ascii="宋体" w:hAnsi="宋体" w:cs="宋体"/>
          <w:color w:val="auto"/>
          <w:sz w:val="24"/>
          <w:szCs w:val="18"/>
          <w:highlight w:val="none"/>
        </w:rPr>
        <w:t xml:space="preserve">日 </w:t>
      </w:r>
      <w:r>
        <w:rPr>
          <w:rFonts w:hint="eastAsia" w:ascii="宋体" w:hAnsi="宋体" w:cs="宋体"/>
          <w:color w:val="auto"/>
          <w:sz w:val="24"/>
          <w:szCs w:val="18"/>
          <w:highlight w:val="none"/>
          <w:lang w:val="en-US" w:eastAsia="zh-CN"/>
        </w:rPr>
        <w:t>09</w:t>
      </w:r>
      <w:r>
        <w:rPr>
          <w:rFonts w:hint="eastAsia" w:ascii="宋体" w:hAnsi="宋体" w:cs="宋体"/>
          <w:color w:val="auto"/>
          <w:sz w:val="24"/>
          <w:szCs w:val="18"/>
          <w:highlight w:val="none"/>
        </w:rPr>
        <w:t>:00】至【202</w:t>
      </w:r>
      <w:r>
        <w:rPr>
          <w:rFonts w:hint="eastAsia" w:ascii="宋体" w:hAnsi="宋体" w:cs="宋体"/>
          <w:color w:val="auto"/>
          <w:sz w:val="24"/>
          <w:szCs w:val="18"/>
          <w:highlight w:val="none"/>
          <w:lang w:val="en-US" w:eastAsia="zh-CN"/>
        </w:rPr>
        <w:t>6</w:t>
      </w:r>
      <w:r>
        <w:rPr>
          <w:rFonts w:hint="eastAsia" w:ascii="宋体" w:hAnsi="宋体" w:cs="宋体"/>
          <w:color w:val="auto"/>
          <w:sz w:val="24"/>
          <w:szCs w:val="18"/>
          <w:highlight w:val="none"/>
        </w:rPr>
        <w:t xml:space="preserve"> 年</w:t>
      </w:r>
      <w:r>
        <w:rPr>
          <w:rFonts w:hint="eastAsia" w:ascii="宋体" w:hAnsi="宋体" w:cs="宋体"/>
          <w:color w:val="auto"/>
          <w:sz w:val="24"/>
          <w:szCs w:val="18"/>
          <w:highlight w:val="none"/>
          <w:lang w:val="en-US" w:eastAsia="zh-CN"/>
        </w:rPr>
        <w:t>7</w:t>
      </w:r>
      <w:r>
        <w:rPr>
          <w:rFonts w:hint="eastAsia" w:ascii="宋体" w:hAnsi="宋体" w:cs="宋体"/>
          <w:color w:val="auto"/>
          <w:sz w:val="24"/>
          <w:szCs w:val="18"/>
          <w:highlight w:val="none"/>
        </w:rPr>
        <w:t>月</w:t>
      </w:r>
      <w:r>
        <w:rPr>
          <w:rFonts w:hint="eastAsia" w:ascii="宋体" w:hAnsi="宋体" w:cs="宋体"/>
          <w:color w:val="auto"/>
          <w:sz w:val="24"/>
          <w:szCs w:val="18"/>
          <w:highlight w:val="none"/>
          <w:lang w:val="en-US" w:eastAsia="zh-CN"/>
        </w:rPr>
        <w:t>16</w:t>
      </w:r>
      <w:r>
        <w:rPr>
          <w:rFonts w:hint="eastAsia" w:ascii="宋体" w:hAnsi="宋体" w:cs="宋体"/>
          <w:color w:val="auto"/>
          <w:sz w:val="24"/>
          <w:szCs w:val="18"/>
          <w:highlight w:val="none"/>
        </w:rPr>
        <w:t xml:space="preserve">日 </w:t>
      </w:r>
      <w:r>
        <w:rPr>
          <w:rFonts w:hint="eastAsia" w:ascii="宋体" w:hAnsi="宋体" w:cs="宋体"/>
          <w:color w:val="auto"/>
          <w:sz w:val="24"/>
          <w:szCs w:val="18"/>
          <w:highlight w:val="none"/>
          <w:lang w:val="en-US" w:eastAsia="zh-CN"/>
        </w:rPr>
        <w:t>09</w:t>
      </w:r>
      <w:r>
        <w:rPr>
          <w:rFonts w:hint="eastAsia" w:ascii="宋体" w:hAnsi="宋体" w:cs="宋体"/>
          <w:color w:val="auto"/>
          <w:sz w:val="24"/>
          <w:szCs w:val="18"/>
          <w:highlight w:val="none"/>
        </w:rPr>
        <w:t>:00】（北京时间，法定节假日除外）</w:t>
      </w:r>
      <w:bookmarkStart w:id="126" w:name="_GoBack"/>
      <w:bookmarkEnd w:id="126"/>
    </w:p>
    <w:p w14:paraId="62E80997">
      <w:pPr>
        <w:overflowPunct w:val="0"/>
        <w:spacing w:line="360" w:lineRule="auto"/>
        <w:ind w:firstLine="480" w:firstLineChars="200"/>
        <w:rPr>
          <w:rFonts w:hint="default" w:ascii="宋体" w:hAnsi="宋体" w:cs="宋体"/>
          <w:color w:val="auto"/>
          <w:sz w:val="24"/>
          <w:szCs w:val="18"/>
          <w:highlight w:val="none"/>
          <w:lang w:val="en-US"/>
        </w:rPr>
      </w:pPr>
      <w:r>
        <w:rPr>
          <w:rFonts w:hint="eastAsia" w:ascii="宋体" w:hAnsi="宋体" w:cs="宋体"/>
          <w:color w:val="auto"/>
          <w:sz w:val="24"/>
          <w:szCs w:val="18"/>
          <w:highlight w:val="none"/>
          <w:lang w:val="en-US" w:eastAsia="zh-CN"/>
        </w:rPr>
        <w:t>2.</w:t>
      </w:r>
      <w:r>
        <w:rPr>
          <w:rFonts w:hint="eastAsia" w:ascii="宋体" w:hAnsi="宋体" w:cs="宋体"/>
          <w:color w:val="auto"/>
          <w:sz w:val="24"/>
          <w:szCs w:val="18"/>
          <w:highlight w:val="none"/>
        </w:rPr>
        <w:t>获取地点：</w:t>
      </w:r>
      <w:r>
        <w:rPr>
          <w:rFonts w:hint="eastAsia" w:ascii="宋体" w:hAnsi="宋体" w:cs="宋体"/>
          <w:color w:val="auto"/>
          <w:sz w:val="24"/>
          <w:highlight w:val="none"/>
          <w:lang w:eastAsia="zh-CN"/>
        </w:rPr>
        <w:t>四川信息职业技术学院</w:t>
      </w:r>
      <w:r>
        <w:rPr>
          <w:rFonts w:hint="eastAsia" w:ascii="宋体" w:hAnsi="宋体" w:cs="宋体"/>
          <w:color w:val="auto"/>
          <w:sz w:val="24"/>
          <w:szCs w:val="18"/>
          <w:highlight w:val="none"/>
        </w:rPr>
        <w:t>官网</w:t>
      </w:r>
      <w:r>
        <w:rPr>
          <w:rFonts w:hint="eastAsia" w:ascii="宋体" w:hAnsi="宋体" w:cs="宋体"/>
          <w:color w:val="auto"/>
          <w:sz w:val="24"/>
          <w:szCs w:val="18"/>
          <w:highlight w:val="none"/>
          <w:lang w:val="en-US" w:eastAsia="zh-CN"/>
        </w:rPr>
        <w:t>主页</w:t>
      </w:r>
      <w:r>
        <w:rPr>
          <w:rFonts w:hint="eastAsia" w:ascii="宋体" w:hAnsi="宋体" w:cs="宋体"/>
          <w:color w:val="auto"/>
          <w:sz w:val="24"/>
          <w:szCs w:val="18"/>
          <w:highlight w:val="none"/>
        </w:rPr>
        <w:t xml:space="preserve">（www.scitc.edu.cn）→ </w:t>
      </w:r>
      <w:r>
        <w:rPr>
          <w:rFonts w:hint="eastAsia" w:ascii="宋体" w:hAnsi="宋体" w:cs="宋体"/>
          <w:b/>
          <w:bCs/>
          <w:color w:val="auto"/>
          <w:sz w:val="24"/>
          <w:szCs w:val="18"/>
          <w:highlight w:val="none"/>
          <w:u w:val="single"/>
          <w:lang w:val="en-US" w:eastAsia="zh-CN"/>
        </w:rPr>
        <w:t>通知公告</w:t>
      </w:r>
      <w:r>
        <w:rPr>
          <w:rFonts w:hint="eastAsia" w:ascii="宋体" w:hAnsi="宋体" w:cs="宋体"/>
          <w:b/>
          <w:bCs/>
          <w:color w:val="auto"/>
          <w:sz w:val="24"/>
          <w:szCs w:val="18"/>
          <w:highlight w:val="none"/>
          <w:u w:val="none"/>
          <w:lang w:val="en-US" w:eastAsia="zh-CN"/>
        </w:rPr>
        <w:t>栏。</w:t>
      </w:r>
    </w:p>
    <w:p w14:paraId="0D77DC56">
      <w:pPr>
        <w:overflowPunct w:val="0"/>
        <w:spacing w:line="360" w:lineRule="auto"/>
        <w:ind w:firstLine="480" w:firstLineChars="200"/>
        <w:rPr>
          <w:rFonts w:hint="eastAsia" w:ascii="宋体" w:hAnsi="宋体" w:cs="宋体"/>
          <w:color w:val="auto"/>
          <w:sz w:val="24"/>
          <w:szCs w:val="18"/>
          <w:highlight w:val="none"/>
        </w:rPr>
      </w:pPr>
      <w:r>
        <w:rPr>
          <w:rFonts w:hint="eastAsia" w:ascii="宋体" w:hAnsi="宋体" w:cs="宋体"/>
          <w:color w:val="auto"/>
          <w:sz w:val="24"/>
          <w:szCs w:val="18"/>
          <w:highlight w:val="none"/>
          <w:lang w:val="en-US" w:eastAsia="zh-CN"/>
        </w:rPr>
        <w:t>3.</w:t>
      </w:r>
      <w:r>
        <w:rPr>
          <w:rFonts w:hint="eastAsia" w:ascii="宋体" w:hAnsi="宋体" w:cs="宋体"/>
          <w:color w:val="auto"/>
          <w:sz w:val="24"/>
          <w:szCs w:val="18"/>
          <w:highlight w:val="none"/>
        </w:rPr>
        <w:t>获取方式：供应商自行在上述栏目下载磋商文件及相关附件</w:t>
      </w:r>
    </w:p>
    <w:p w14:paraId="5C0B702C">
      <w:pPr>
        <w:overflowPunct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szCs w:val="18"/>
          <w:highlight w:val="none"/>
          <w:lang w:val="en-US" w:eastAsia="zh-CN"/>
        </w:rPr>
        <w:t>4.</w:t>
      </w:r>
      <w:r>
        <w:rPr>
          <w:rFonts w:hint="eastAsia" w:ascii="宋体" w:hAnsi="宋体" w:cs="宋体"/>
          <w:color w:val="auto"/>
          <w:sz w:val="24"/>
          <w:szCs w:val="18"/>
          <w:highlight w:val="none"/>
        </w:rPr>
        <w:t>文件费用：本项目不收取磋商文件工本费</w:t>
      </w:r>
    </w:p>
    <w:p w14:paraId="5E5F9E92">
      <w:pPr>
        <w:keepNext w:val="0"/>
        <w:keepLines w:val="0"/>
        <w:pageBreakBefore w:val="0"/>
        <w:widowControl w:val="0"/>
        <w:kinsoku/>
        <w:wordWrap/>
        <w:overflowPunct w:val="0"/>
        <w:topLinePunct w:val="0"/>
        <w:autoSpaceDE/>
        <w:autoSpaceDN/>
        <w:bidi w:val="0"/>
        <w:adjustRightInd/>
        <w:snapToGrid/>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八、递交响应文件截止时间：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23 </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 xml:space="preserve"> 上午9:00</w:t>
      </w:r>
      <w:r>
        <w:rPr>
          <w:rFonts w:hint="eastAsia" w:ascii="宋体" w:hAnsi="宋体" w:cs="宋体"/>
          <w:color w:val="auto"/>
          <w:sz w:val="24"/>
          <w:highlight w:val="none"/>
          <w:u w:val="single"/>
        </w:rPr>
        <w:t>（北京时间）</w:t>
      </w:r>
    </w:p>
    <w:p w14:paraId="073173C2">
      <w:pPr>
        <w:keepNext w:val="0"/>
        <w:keepLines w:val="0"/>
        <w:pageBreakBefore w:val="0"/>
        <w:widowControl w:val="0"/>
        <w:kinsoku/>
        <w:wordWrap/>
        <w:overflowPunct w:val="0"/>
        <w:topLinePunct w:val="0"/>
        <w:autoSpaceDE/>
        <w:autoSpaceDN/>
        <w:bidi w:val="0"/>
        <w:adjustRightInd/>
        <w:snapToGrid/>
        <w:spacing w:line="360" w:lineRule="auto"/>
        <w:ind w:firstLine="482" w:firstLineChars="200"/>
        <w:textAlignment w:val="auto"/>
        <w:rPr>
          <w:rFonts w:hint="eastAsia" w:ascii="宋体" w:hAnsi="宋体" w:cs="宋体"/>
          <w:color w:val="auto"/>
          <w:sz w:val="24"/>
          <w:highlight w:val="none"/>
        </w:rPr>
      </w:pPr>
      <w:r>
        <w:rPr>
          <w:rFonts w:hint="eastAsia" w:ascii="宋体" w:hAnsi="宋体" w:cs="宋体"/>
          <w:b/>
          <w:color w:val="auto"/>
          <w:sz w:val="24"/>
          <w:highlight w:val="none"/>
        </w:rPr>
        <w:t>九、递交响应文件地点：</w:t>
      </w:r>
      <w:r>
        <w:rPr>
          <w:rFonts w:hint="eastAsia" w:ascii="宋体" w:hAnsi="宋体" w:cs="宋体"/>
          <w:color w:val="auto"/>
          <w:sz w:val="24"/>
          <w:highlight w:val="none"/>
        </w:rPr>
        <w:t>广元市利州区学府路265号综合楼0903室。</w:t>
      </w:r>
    </w:p>
    <w:p w14:paraId="3D360848">
      <w:pPr>
        <w:keepNext w:val="0"/>
        <w:keepLines w:val="0"/>
        <w:pageBreakBefore w:val="0"/>
        <w:widowControl w:val="0"/>
        <w:kinsoku/>
        <w:wordWrap/>
        <w:overflowPunct w:val="0"/>
        <w:topLinePunct w:val="0"/>
        <w:autoSpaceDE/>
        <w:autoSpaceDN/>
        <w:bidi w:val="0"/>
        <w:adjustRightInd/>
        <w:snapToGrid/>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十、响应文件开启时间及磋商时间：</w:t>
      </w:r>
      <w:r>
        <w:rPr>
          <w:rFonts w:hint="eastAsia" w:ascii="宋体" w:hAnsi="宋体" w:cs="宋体"/>
          <w:color w:val="auto"/>
          <w:sz w:val="24"/>
          <w:highlight w:val="none"/>
        </w:rPr>
        <w:t>同递交响应文件截止时间</w:t>
      </w:r>
    </w:p>
    <w:p w14:paraId="59EE1A97">
      <w:pPr>
        <w:keepNext w:val="0"/>
        <w:keepLines w:val="0"/>
        <w:pageBreakBefore w:val="0"/>
        <w:widowControl w:val="0"/>
        <w:kinsoku/>
        <w:wordWrap/>
        <w:overflowPunct w:val="0"/>
        <w:topLinePunct w:val="0"/>
        <w:autoSpaceDE/>
        <w:autoSpaceDN/>
        <w:bidi w:val="0"/>
        <w:adjustRightInd/>
        <w:snapToGrid/>
        <w:spacing w:line="360" w:lineRule="auto"/>
        <w:ind w:firstLine="482" w:firstLineChars="200"/>
        <w:textAlignment w:val="auto"/>
        <w:rPr>
          <w:rFonts w:hint="eastAsia" w:ascii="宋体" w:hAnsi="宋体" w:cs="宋体"/>
          <w:color w:val="auto"/>
          <w:sz w:val="24"/>
          <w:highlight w:val="yellow"/>
        </w:rPr>
      </w:pPr>
      <w:r>
        <w:rPr>
          <w:rFonts w:hint="eastAsia" w:ascii="宋体" w:hAnsi="宋体" w:cs="宋体"/>
          <w:b/>
          <w:color w:val="auto"/>
          <w:sz w:val="24"/>
          <w:highlight w:val="none"/>
        </w:rPr>
        <w:t>十一、磋商地点：</w:t>
      </w:r>
      <w:r>
        <w:rPr>
          <w:rFonts w:hint="eastAsia" w:ascii="宋体" w:hAnsi="宋体" w:cs="宋体"/>
          <w:color w:val="auto"/>
          <w:sz w:val="24"/>
          <w:highlight w:val="none"/>
        </w:rPr>
        <w:t>广元市利州区学府路265号综合楼0903室。</w:t>
      </w:r>
    </w:p>
    <w:p w14:paraId="4215B41E">
      <w:pPr>
        <w:keepNext w:val="0"/>
        <w:keepLines w:val="0"/>
        <w:pageBreakBefore w:val="0"/>
        <w:widowControl w:val="0"/>
        <w:kinsoku/>
        <w:wordWrap/>
        <w:overflowPunct w:val="0"/>
        <w:topLinePunct w:val="0"/>
        <w:autoSpaceDE/>
        <w:autoSpaceDN/>
        <w:bidi w:val="0"/>
        <w:adjustRightInd/>
        <w:snapToGrid/>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十二、联系方式</w:t>
      </w:r>
    </w:p>
    <w:p w14:paraId="202870D9">
      <w:pPr>
        <w:overflowPunct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1.采购人：</w:t>
      </w:r>
      <w:r>
        <w:rPr>
          <w:rFonts w:hint="eastAsia" w:ascii="宋体" w:hAnsi="宋体" w:cs="宋体"/>
          <w:color w:val="auto"/>
          <w:sz w:val="24"/>
          <w:highlight w:val="none"/>
          <w:lang w:eastAsia="zh-CN"/>
        </w:rPr>
        <w:t>四川信息职业技术学院</w:t>
      </w:r>
    </w:p>
    <w:p w14:paraId="1CC82664">
      <w:pPr>
        <w:overflowPunct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eastAsia="宋体" w:cs="宋体"/>
          <w:color w:val="auto"/>
          <w:sz w:val="24"/>
          <w:highlight w:val="none"/>
        </w:rPr>
        <w:t>：</w:t>
      </w:r>
      <w:r>
        <w:rPr>
          <w:rFonts w:hint="eastAsia" w:ascii="宋体" w:hAnsi="宋体" w:cs="宋体"/>
          <w:sz w:val="24"/>
          <w:highlight w:val="none"/>
        </w:rPr>
        <w:t>四川省广元市利州区学府路265号</w:t>
      </w:r>
    </w:p>
    <w:p w14:paraId="2A39BE4D">
      <w:pPr>
        <w:pStyle w:val="66"/>
        <w:ind w:firstLine="480"/>
        <w:rPr>
          <w:rFonts w:hint="eastAsia" w:ascii="宋体" w:hAnsi="宋体" w:eastAsia="宋体" w:cs="宋体"/>
          <w:sz w:val="24"/>
          <w:highlight w:val="none"/>
          <w:lang w:eastAsia="zh-CN"/>
        </w:rPr>
      </w:pPr>
      <w:r>
        <w:rPr>
          <w:rFonts w:hint="eastAsia" w:ascii="宋体" w:hAnsi="宋体" w:cs="宋体"/>
          <w:sz w:val="24"/>
          <w:highlight w:val="none"/>
        </w:rPr>
        <w:t>联系人：</w:t>
      </w:r>
      <w:r>
        <w:rPr>
          <w:rFonts w:hint="eastAsia" w:ascii="宋体" w:hAnsi="宋体" w:cs="宋体"/>
          <w:sz w:val="24"/>
          <w:highlight w:val="none"/>
          <w:lang w:val="en-US" w:eastAsia="zh-CN"/>
        </w:rPr>
        <w:t>何</w:t>
      </w:r>
      <w:r>
        <w:rPr>
          <w:rFonts w:hint="eastAsia" w:ascii="宋体" w:hAnsi="宋体" w:cs="宋体"/>
          <w:sz w:val="24"/>
          <w:highlight w:val="none"/>
          <w:lang w:eastAsia="zh-CN"/>
        </w:rPr>
        <w:t>老师</w:t>
      </w:r>
    </w:p>
    <w:p w14:paraId="11C6B71D">
      <w:pPr>
        <w:pStyle w:val="66"/>
        <w:ind w:firstLine="480"/>
        <w:rPr>
          <w:rFonts w:hint="default" w:ascii="宋体" w:hAnsi="宋体" w:eastAsia="宋体" w:cs="宋体"/>
          <w:sz w:val="24"/>
          <w:highlight w:val="none"/>
          <w:lang w:val="en-US" w:eastAsia="zh-CN"/>
        </w:rPr>
      </w:pPr>
      <w:r>
        <w:rPr>
          <w:rFonts w:hint="eastAsia" w:ascii="宋体" w:hAnsi="宋体" w:cs="宋体"/>
          <w:sz w:val="24"/>
          <w:highlight w:val="none"/>
        </w:rPr>
        <w:t>联系电话：</w:t>
      </w:r>
      <w:r>
        <w:rPr>
          <w:rFonts w:hint="eastAsia" w:ascii="宋体" w:hAnsi="宋体" w:cs="宋体"/>
          <w:sz w:val="24"/>
          <w:highlight w:val="none"/>
          <w:lang w:val="en-US" w:eastAsia="zh-CN"/>
        </w:rPr>
        <w:t>18111361551</w:t>
      </w:r>
    </w:p>
    <w:p w14:paraId="6A77FBBC">
      <w:pPr>
        <w:pStyle w:val="29"/>
        <w:widowControl w:val="0"/>
        <w:adjustRightInd w:val="0"/>
        <w:snapToGrid w:val="0"/>
        <w:spacing w:before="0" w:beforeAutospacing="0" w:after="0" w:afterAutospacing="0" w:line="360" w:lineRule="auto"/>
        <w:jc w:val="both"/>
        <w:outlineLvl w:val="0"/>
        <w:rPr>
          <w:rFonts w:hint="eastAsia"/>
        </w:rPr>
      </w:pPr>
      <w:r>
        <w:rPr>
          <w:rFonts w:hint="eastAsia" w:cs="宋体"/>
          <w:color w:val="auto"/>
          <w:sz w:val="24"/>
          <w:szCs w:val="24"/>
          <w:highlight w:val="none"/>
        </w:rPr>
        <w:br w:type="page"/>
      </w:r>
      <w:bookmarkStart w:id="12" w:name="_Toc17747"/>
      <w:bookmarkStart w:id="13" w:name="_Toc27575"/>
      <w:bookmarkStart w:id="14" w:name="_Toc16138"/>
      <w:bookmarkStart w:id="15" w:name="_Toc16066"/>
      <w:bookmarkStart w:id="16" w:name="_Toc7490"/>
      <w:bookmarkStart w:id="17" w:name="_Toc671755938"/>
      <w:bookmarkStart w:id="18" w:name="_Toc10358"/>
      <w:bookmarkStart w:id="19" w:name="_Toc27015"/>
      <w:r>
        <w:rPr>
          <w:rFonts w:hint="eastAsia" w:cs="宋体"/>
          <w:b/>
          <w:color w:val="auto"/>
          <w:kern w:val="2"/>
          <w:sz w:val="32"/>
          <w:szCs w:val="32"/>
          <w:highlight w:val="none"/>
        </w:rPr>
        <w:t>第二章  供应商磋商须知</w:t>
      </w:r>
      <w:bookmarkEnd w:id="11"/>
      <w:bookmarkEnd w:id="12"/>
      <w:bookmarkEnd w:id="13"/>
      <w:bookmarkEnd w:id="14"/>
      <w:bookmarkEnd w:id="15"/>
      <w:bookmarkEnd w:id="16"/>
      <w:bookmarkEnd w:id="17"/>
      <w:bookmarkEnd w:id="18"/>
      <w:bookmarkEnd w:id="19"/>
    </w:p>
    <w:tbl>
      <w:tblPr>
        <w:tblStyle w:val="32"/>
        <w:tblpPr w:leftFromText="180" w:rightFromText="180" w:vertAnchor="text" w:horzAnchor="page" w:tblpX="1284" w:tblpY="1065"/>
        <w:tblOverlap w:val="never"/>
        <w:tblW w:w="9172"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1"/>
        <w:gridCol w:w="2450"/>
        <w:gridCol w:w="6161"/>
      </w:tblGrid>
      <w:tr w14:paraId="77E95B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65" w:hRule="exact"/>
          <w:tblHeader/>
        </w:trPr>
        <w:tc>
          <w:tcPr>
            <w:tcW w:w="561" w:type="dxa"/>
            <w:noWrap w:val="0"/>
            <w:vAlign w:val="center"/>
          </w:tcPr>
          <w:p w14:paraId="601F4556">
            <w:pPr>
              <w:pStyle w:val="77"/>
              <w:keepNext w:val="0"/>
              <w:keepLines w:val="0"/>
              <w:suppressLineNumbers w:val="0"/>
              <w:spacing w:before="0" w:beforeAutospacing="0" w:after="0" w:afterAutospacing="0"/>
              <w:ind w:left="0" w:right="0" w:firstLine="210" w:firstLineChars="100"/>
              <w:jc w:val="both"/>
              <w:rPr>
                <w:rFonts w:hint="eastAsia"/>
                <w:color w:val="auto"/>
                <w:sz w:val="21"/>
                <w:szCs w:val="21"/>
                <w:highlight w:val="none"/>
                <w:lang w:val="zh-CN"/>
              </w:rPr>
            </w:pPr>
            <w:bookmarkStart w:id="20" w:name="_Toc8015"/>
            <w:bookmarkStart w:id="21" w:name="_Toc21889"/>
            <w:bookmarkStart w:id="22" w:name="_Toc14803"/>
            <w:r>
              <w:rPr>
                <w:rFonts w:hint="eastAsia"/>
                <w:color w:val="auto"/>
                <w:sz w:val="21"/>
                <w:szCs w:val="21"/>
                <w:highlight w:val="none"/>
                <w:lang w:val="zh-CN"/>
              </w:rPr>
              <w:t>序号</w:t>
            </w:r>
          </w:p>
        </w:tc>
        <w:tc>
          <w:tcPr>
            <w:tcW w:w="2450" w:type="dxa"/>
            <w:noWrap w:val="0"/>
            <w:vAlign w:val="center"/>
          </w:tcPr>
          <w:p w14:paraId="296C3559">
            <w:pPr>
              <w:pStyle w:val="77"/>
              <w:keepNext w:val="0"/>
              <w:keepLines w:val="0"/>
              <w:suppressLineNumbers w:val="0"/>
              <w:spacing w:before="0" w:beforeAutospacing="0" w:after="0" w:afterAutospacing="0"/>
              <w:ind w:left="0" w:right="0" w:firstLine="315" w:firstLineChars="150"/>
              <w:jc w:val="center"/>
              <w:rPr>
                <w:rFonts w:hint="eastAsia"/>
                <w:color w:val="auto"/>
                <w:sz w:val="21"/>
                <w:szCs w:val="21"/>
                <w:highlight w:val="none"/>
                <w:lang w:val="zh-CN"/>
              </w:rPr>
            </w:pPr>
            <w:r>
              <w:rPr>
                <w:rFonts w:hint="eastAsia"/>
                <w:color w:val="auto"/>
                <w:sz w:val="21"/>
                <w:szCs w:val="21"/>
                <w:highlight w:val="none"/>
                <w:lang w:val="zh-CN"/>
              </w:rPr>
              <w:t>应知事项</w:t>
            </w:r>
          </w:p>
        </w:tc>
        <w:tc>
          <w:tcPr>
            <w:tcW w:w="6161" w:type="dxa"/>
            <w:noWrap w:val="0"/>
            <w:vAlign w:val="center"/>
          </w:tcPr>
          <w:p w14:paraId="17594310">
            <w:pPr>
              <w:pStyle w:val="77"/>
              <w:keepNext w:val="0"/>
              <w:keepLines w:val="0"/>
              <w:suppressLineNumbers w:val="0"/>
              <w:spacing w:before="0" w:beforeAutospacing="0" w:after="0" w:afterAutospacing="0"/>
              <w:ind w:left="0" w:right="0" w:firstLine="315" w:firstLineChars="150"/>
              <w:jc w:val="center"/>
              <w:rPr>
                <w:rFonts w:hint="eastAsia"/>
                <w:color w:val="auto"/>
                <w:sz w:val="21"/>
                <w:szCs w:val="21"/>
                <w:highlight w:val="none"/>
                <w:lang w:val="zh-CN"/>
              </w:rPr>
            </w:pPr>
            <w:r>
              <w:rPr>
                <w:rFonts w:hint="eastAsia"/>
                <w:color w:val="auto"/>
                <w:sz w:val="21"/>
                <w:szCs w:val="21"/>
                <w:highlight w:val="none"/>
                <w:lang w:val="zh-CN"/>
              </w:rPr>
              <w:t>说明和要求</w:t>
            </w:r>
          </w:p>
        </w:tc>
      </w:tr>
      <w:tr w14:paraId="50130E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96" w:hRule="exact"/>
        </w:trPr>
        <w:tc>
          <w:tcPr>
            <w:tcW w:w="561" w:type="dxa"/>
            <w:noWrap w:val="0"/>
            <w:vAlign w:val="center"/>
          </w:tcPr>
          <w:p w14:paraId="65D73B4F">
            <w:pPr>
              <w:pStyle w:val="77"/>
              <w:keepNext w:val="0"/>
              <w:keepLines w:val="0"/>
              <w:suppressLineNumbers w:val="0"/>
              <w:spacing w:before="0" w:beforeAutospacing="0" w:after="0" w:afterAutospacing="0"/>
              <w:ind w:left="0" w:right="0" w:firstLine="315" w:firstLineChars="150"/>
              <w:rPr>
                <w:rFonts w:hint="eastAsia"/>
                <w:color w:val="auto"/>
                <w:sz w:val="21"/>
                <w:szCs w:val="21"/>
                <w:highlight w:val="none"/>
                <w:lang w:val="zh-CN"/>
              </w:rPr>
            </w:pPr>
            <w:r>
              <w:rPr>
                <w:rFonts w:hint="eastAsia"/>
                <w:color w:val="auto"/>
                <w:sz w:val="21"/>
                <w:szCs w:val="21"/>
                <w:highlight w:val="none"/>
                <w:lang w:val="zh-CN"/>
              </w:rPr>
              <w:t>1</w:t>
            </w:r>
          </w:p>
        </w:tc>
        <w:tc>
          <w:tcPr>
            <w:tcW w:w="2450" w:type="dxa"/>
            <w:noWrap w:val="0"/>
            <w:vAlign w:val="center"/>
          </w:tcPr>
          <w:p w14:paraId="32E3DAAA">
            <w:pPr>
              <w:pStyle w:val="77"/>
              <w:keepNext w:val="0"/>
              <w:keepLines w:val="0"/>
              <w:suppressLineNumbers w:val="0"/>
              <w:spacing w:before="0" w:beforeAutospacing="0" w:after="0" w:afterAutospacing="0"/>
              <w:ind w:left="0" w:right="0"/>
              <w:jc w:val="center"/>
              <w:rPr>
                <w:rFonts w:hint="eastAsia"/>
                <w:color w:val="auto"/>
                <w:sz w:val="21"/>
                <w:szCs w:val="21"/>
                <w:highlight w:val="none"/>
                <w:lang w:val="zh-CN"/>
              </w:rPr>
            </w:pPr>
            <w:r>
              <w:rPr>
                <w:rFonts w:hint="eastAsia"/>
                <w:color w:val="auto"/>
                <w:sz w:val="21"/>
                <w:szCs w:val="21"/>
                <w:highlight w:val="none"/>
                <w:lang w:val="zh-CN"/>
              </w:rPr>
              <w:t>邀请磋商的供应商数量和方式</w:t>
            </w:r>
          </w:p>
        </w:tc>
        <w:tc>
          <w:tcPr>
            <w:tcW w:w="6161" w:type="dxa"/>
            <w:noWrap w:val="0"/>
            <w:vAlign w:val="center"/>
          </w:tcPr>
          <w:p w14:paraId="4356B9E9">
            <w:pPr>
              <w:pStyle w:val="7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firstLine="420" w:firstLineChars="200"/>
              <w:jc w:val="both"/>
              <w:textAlignment w:val="auto"/>
              <w:rPr>
                <w:rFonts w:hint="eastAsia"/>
                <w:color w:val="auto"/>
                <w:sz w:val="21"/>
                <w:szCs w:val="21"/>
                <w:highlight w:val="none"/>
                <w:lang w:val="zh-CN"/>
              </w:rPr>
            </w:pPr>
            <w:r>
              <w:rPr>
                <w:rFonts w:hint="eastAsia"/>
                <w:color w:val="auto"/>
                <w:sz w:val="21"/>
                <w:szCs w:val="21"/>
                <w:highlight w:val="none"/>
                <w:lang w:val="zh-CN"/>
              </w:rPr>
              <w:t>本次磋商邀请的供应商数量：不少于三家供应商。</w:t>
            </w:r>
          </w:p>
          <w:p w14:paraId="622543AA">
            <w:pPr>
              <w:pStyle w:val="7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firstLine="420" w:firstLineChars="200"/>
              <w:jc w:val="both"/>
              <w:textAlignment w:val="auto"/>
              <w:rPr>
                <w:rFonts w:hint="eastAsia"/>
                <w:color w:val="auto"/>
                <w:sz w:val="21"/>
                <w:szCs w:val="21"/>
                <w:highlight w:val="none"/>
                <w:lang w:val="zh-CN"/>
              </w:rPr>
            </w:pPr>
            <w:r>
              <w:rPr>
                <w:rFonts w:hint="eastAsia"/>
                <w:color w:val="auto"/>
                <w:sz w:val="21"/>
                <w:szCs w:val="21"/>
                <w:highlight w:val="none"/>
                <w:lang w:val="zh-CN"/>
              </w:rPr>
              <w:t>四川信息职业技术学院官网主页（www.scitc.edu.cn）→ 通知公告栏。</w:t>
            </w:r>
          </w:p>
        </w:tc>
      </w:tr>
      <w:tr w14:paraId="5C8CC3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4" w:hRule="exact"/>
        </w:trPr>
        <w:tc>
          <w:tcPr>
            <w:tcW w:w="561" w:type="dxa"/>
            <w:noWrap w:val="0"/>
            <w:vAlign w:val="center"/>
          </w:tcPr>
          <w:p w14:paraId="63AA7ABC">
            <w:pPr>
              <w:pStyle w:val="77"/>
              <w:keepNext w:val="0"/>
              <w:keepLines w:val="0"/>
              <w:suppressLineNumbers w:val="0"/>
              <w:spacing w:before="0" w:beforeAutospacing="0" w:after="0" w:afterAutospacing="0"/>
              <w:ind w:left="0" w:right="0" w:firstLine="315" w:firstLineChars="150"/>
              <w:rPr>
                <w:rFonts w:hint="eastAsia"/>
                <w:color w:val="auto"/>
                <w:sz w:val="21"/>
                <w:szCs w:val="21"/>
                <w:highlight w:val="none"/>
                <w:lang w:val="zh-CN"/>
              </w:rPr>
            </w:pPr>
            <w:r>
              <w:rPr>
                <w:rFonts w:hint="eastAsia"/>
                <w:color w:val="auto"/>
                <w:sz w:val="21"/>
                <w:szCs w:val="21"/>
                <w:highlight w:val="none"/>
                <w:lang w:val="zh-CN"/>
              </w:rPr>
              <w:t>2</w:t>
            </w:r>
          </w:p>
        </w:tc>
        <w:tc>
          <w:tcPr>
            <w:tcW w:w="2450" w:type="dxa"/>
            <w:noWrap w:val="0"/>
            <w:vAlign w:val="center"/>
          </w:tcPr>
          <w:p w14:paraId="0A60406F">
            <w:pPr>
              <w:pStyle w:val="77"/>
              <w:keepNext w:val="0"/>
              <w:keepLines w:val="0"/>
              <w:suppressLineNumbers w:val="0"/>
              <w:spacing w:before="0" w:beforeAutospacing="0" w:after="0" w:afterAutospacing="0"/>
              <w:ind w:left="0" w:right="0"/>
              <w:jc w:val="center"/>
              <w:rPr>
                <w:rFonts w:hint="eastAsia"/>
                <w:color w:val="auto"/>
                <w:sz w:val="21"/>
                <w:szCs w:val="21"/>
                <w:highlight w:val="none"/>
                <w:lang w:val="zh-CN"/>
              </w:rPr>
            </w:pPr>
            <w:r>
              <w:rPr>
                <w:rFonts w:hint="eastAsia"/>
                <w:color w:val="auto"/>
                <w:sz w:val="21"/>
                <w:szCs w:val="21"/>
                <w:highlight w:val="none"/>
                <w:lang w:val="zh-CN"/>
              </w:rPr>
              <w:t>采购预算</w:t>
            </w:r>
          </w:p>
          <w:p w14:paraId="055E52CB">
            <w:pPr>
              <w:pStyle w:val="77"/>
              <w:keepNext w:val="0"/>
              <w:keepLines w:val="0"/>
              <w:suppressLineNumbers w:val="0"/>
              <w:spacing w:before="0" w:beforeAutospacing="0" w:after="0" w:afterAutospacing="0"/>
              <w:ind w:left="0" w:right="0"/>
              <w:jc w:val="center"/>
              <w:rPr>
                <w:rFonts w:hint="eastAsia"/>
                <w:color w:val="auto"/>
                <w:sz w:val="21"/>
                <w:szCs w:val="21"/>
                <w:highlight w:val="none"/>
                <w:lang w:val="zh-CN"/>
              </w:rPr>
            </w:pPr>
            <w:r>
              <w:rPr>
                <w:rFonts w:hint="eastAsia"/>
                <w:color w:val="auto"/>
                <w:sz w:val="21"/>
                <w:szCs w:val="21"/>
                <w:highlight w:val="none"/>
                <w:lang w:val="zh-CN"/>
              </w:rPr>
              <w:t>（实质性要求）</w:t>
            </w:r>
          </w:p>
        </w:tc>
        <w:tc>
          <w:tcPr>
            <w:tcW w:w="6161" w:type="dxa"/>
            <w:noWrap w:val="0"/>
            <w:vAlign w:val="center"/>
          </w:tcPr>
          <w:p w14:paraId="67B17FB9">
            <w:pPr>
              <w:pStyle w:val="77"/>
              <w:keepNext w:val="0"/>
              <w:keepLines w:val="0"/>
              <w:suppressLineNumbers w:val="0"/>
              <w:spacing w:before="0" w:beforeAutospacing="0" w:after="0" w:afterAutospacing="0"/>
              <w:ind w:left="0" w:right="0" w:firstLine="315" w:firstLineChars="15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1.1 依据《四川省物价局、四川省建设厅关于印发〈四川省工程造价咨询服务收费标准〉的通知》（川价发〔2008〕141 号）对应服务基准收费标准下浮 40% 计算。</w:t>
            </w:r>
          </w:p>
          <w:p w14:paraId="57CFF86A">
            <w:pPr>
              <w:pStyle w:val="77"/>
              <w:keepNext w:val="0"/>
              <w:keepLines w:val="0"/>
              <w:suppressLineNumbers w:val="0"/>
              <w:spacing w:before="0" w:beforeAutospacing="0" w:after="0" w:afterAutospacing="0"/>
              <w:ind w:left="0" w:right="0" w:firstLine="315" w:firstLineChars="15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1.2 供应商采用下浮率报价，下浮率计算基数为川价发〔2008〕141 号文对应服务基准收费额。</w:t>
            </w:r>
          </w:p>
          <w:p w14:paraId="2190ED4D">
            <w:pPr>
              <w:pStyle w:val="77"/>
              <w:keepNext w:val="0"/>
              <w:keepLines w:val="0"/>
              <w:suppressLineNumbers w:val="0"/>
              <w:spacing w:before="0" w:beforeAutospacing="0" w:after="0" w:afterAutospacing="0"/>
              <w:ind w:left="0" w:right="0" w:firstLine="315" w:firstLineChars="15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1.3 供应商下浮率＜40%（折算服务费超采购预算）的，作无效响应处理。</w:t>
            </w:r>
          </w:p>
        </w:tc>
      </w:tr>
      <w:tr w14:paraId="6E1BB7C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2" w:hRule="exact"/>
        </w:trPr>
        <w:tc>
          <w:tcPr>
            <w:tcW w:w="561" w:type="dxa"/>
            <w:noWrap w:val="0"/>
            <w:vAlign w:val="center"/>
          </w:tcPr>
          <w:p w14:paraId="0CE05FC9">
            <w:pPr>
              <w:pStyle w:val="77"/>
              <w:keepNext w:val="0"/>
              <w:keepLines w:val="0"/>
              <w:suppressLineNumbers w:val="0"/>
              <w:spacing w:before="0" w:beforeAutospacing="0" w:after="0" w:afterAutospacing="0"/>
              <w:ind w:left="0" w:right="0" w:firstLine="315" w:firstLineChars="150"/>
              <w:rPr>
                <w:rFonts w:hint="eastAsia"/>
                <w:color w:val="auto"/>
                <w:sz w:val="21"/>
                <w:szCs w:val="21"/>
                <w:highlight w:val="none"/>
                <w:lang w:val="zh-CN"/>
              </w:rPr>
            </w:pPr>
            <w:r>
              <w:rPr>
                <w:rFonts w:hint="eastAsia"/>
                <w:color w:val="auto"/>
                <w:sz w:val="21"/>
                <w:szCs w:val="21"/>
                <w:highlight w:val="none"/>
                <w:lang w:val="zh-CN"/>
              </w:rPr>
              <w:t>3</w:t>
            </w:r>
          </w:p>
        </w:tc>
        <w:tc>
          <w:tcPr>
            <w:tcW w:w="2450" w:type="dxa"/>
            <w:noWrap w:val="0"/>
            <w:vAlign w:val="center"/>
          </w:tcPr>
          <w:p w14:paraId="63233966">
            <w:pPr>
              <w:pStyle w:val="77"/>
              <w:keepNext w:val="0"/>
              <w:keepLines w:val="0"/>
              <w:suppressLineNumbers w:val="0"/>
              <w:spacing w:before="0" w:beforeAutospacing="0" w:after="0" w:afterAutospacing="0"/>
              <w:ind w:left="0" w:right="0"/>
              <w:jc w:val="center"/>
              <w:rPr>
                <w:rFonts w:hint="eastAsia"/>
                <w:color w:val="auto"/>
                <w:sz w:val="21"/>
                <w:szCs w:val="21"/>
                <w:highlight w:val="none"/>
                <w:lang w:val="zh-CN"/>
              </w:rPr>
            </w:pPr>
            <w:r>
              <w:rPr>
                <w:rFonts w:hint="eastAsia"/>
                <w:color w:val="auto"/>
                <w:sz w:val="21"/>
                <w:szCs w:val="21"/>
                <w:highlight w:val="none"/>
                <w:lang w:val="zh-CN"/>
              </w:rPr>
              <w:t>最高限价</w:t>
            </w:r>
          </w:p>
          <w:p w14:paraId="0D1ED0D6">
            <w:pPr>
              <w:pStyle w:val="77"/>
              <w:keepNext w:val="0"/>
              <w:keepLines w:val="0"/>
              <w:suppressLineNumbers w:val="0"/>
              <w:spacing w:before="0" w:beforeAutospacing="0" w:after="0" w:afterAutospacing="0"/>
              <w:ind w:left="0" w:right="0"/>
              <w:jc w:val="center"/>
              <w:rPr>
                <w:rFonts w:hint="eastAsia"/>
                <w:color w:val="auto"/>
                <w:sz w:val="21"/>
                <w:szCs w:val="21"/>
                <w:highlight w:val="none"/>
                <w:lang w:val="zh-CN"/>
              </w:rPr>
            </w:pPr>
            <w:r>
              <w:rPr>
                <w:rFonts w:hint="eastAsia"/>
                <w:color w:val="auto"/>
                <w:sz w:val="21"/>
                <w:szCs w:val="21"/>
                <w:highlight w:val="none"/>
                <w:lang w:val="zh-CN"/>
              </w:rPr>
              <w:t>（实质性要求）</w:t>
            </w:r>
          </w:p>
        </w:tc>
        <w:tc>
          <w:tcPr>
            <w:tcW w:w="6161" w:type="dxa"/>
            <w:noWrap w:val="0"/>
            <w:vAlign w:val="center"/>
          </w:tcPr>
          <w:p w14:paraId="1BBD56A7">
            <w:pPr>
              <w:pStyle w:val="77"/>
              <w:keepNext w:val="0"/>
              <w:keepLines w:val="0"/>
              <w:suppressLineNumbers w:val="0"/>
              <w:spacing w:before="0" w:beforeAutospacing="0" w:after="0" w:afterAutospacing="0"/>
              <w:ind w:left="0" w:right="0" w:firstLine="315" w:firstLineChars="15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1.1 本项目采购预算即最高响应限价，依据《四川省物价局、四川省建设厅关于印发〈四川省工程造价咨询服务收费标准〉的通知》（川价发〔2008〕141 号）对应服务基准收费标准下浮 40% 计算。</w:t>
            </w:r>
          </w:p>
          <w:p w14:paraId="236833F1">
            <w:pPr>
              <w:pStyle w:val="77"/>
              <w:keepNext w:val="0"/>
              <w:keepLines w:val="0"/>
              <w:suppressLineNumbers w:val="0"/>
              <w:spacing w:before="0" w:beforeAutospacing="0" w:after="0" w:afterAutospacing="0"/>
              <w:ind w:left="0" w:right="0" w:firstLine="315" w:firstLineChars="15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1.2 供应商采用下浮率报价，下浮率计算基数为川价发〔2008〕141 号文对应服务基准收费额。</w:t>
            </w:r>
          </w:p>
          <w:p w14:paraId="08EE8AE0">
            <w:pPr>
              <w:pStyle w:val="77"/>
              <w:keepNext w:val="0"/>
              <w:keepLines w:val="0"/>
              <w:suppressLineNumbers w:val="0"/>
              <w:spacing w:before="0" w:beforeAutospacing="0" w:after="0" w:afterAutospacing="0"/>
              <w:ind w:left="0" w:right="0" w:firstLine="315" w:firstLineChars="15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1.3 供应商下浮率＜40%（折算服务费超采购预算）的，作无效响应处理。</w:t>
            </w:r>
          </w:p>
        </w:tc>
      </w:tr>
      <w:tr w14:paraId="51252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30" w:hRule="exact"/>
        </w:trPr>
        <w:tc>
          <w:tcPr>
            <w:tcW w:w="561" w:type="dxa"/>
            <w:noWrap w:val="0"/>
            <w:vAlign w:val="center"/>
          </w:tcPr>
          <w:p w14:paraId="7C62748A">
            <w:pPr>
              <w:pStyle w:val="77"/>
              <w:keepNext w:val="0"/>
              <w:keepLines w:val="0"/>
              <w:suppressLineNumbers w:val="0"/>
              <w:spacing w:before="0" w:beforeAutospacing="0" w:after="0" w:afterAutospacing="0"/>
              <w:ind w:left="0" w:right="0" w:firstLine="315" w:firstLineChars="150"/>
              <w:rPr>
                <w:rFonts w:hint="eastAsia" w:eastAsia="宋体"/>
                <w:color w:val="auto"/>
                <w:sz w:val="21"/>
                <w:szCs w:val="21"/>
                <w:highlight w:val="none"/>
                <w:lang w:val="en-US" w:eastAsia="zh-CN"/>
              </w:rPr>
            </w:pPr>
            <w:r>
              <w:rPr>
                <w:rFonts w:hint="eastAsia"/>
                <w:color w:val="auto"/>
                <w:sz w:val="21"/>
                <w:szCs w:val="21"/>
                <w:highlight w:val="none"/>
                <w:lang w:val="en-US" w:eastAsia="zh-CN"/>
              </w:rPr>
              <w:t>4</w:t>
            </w:r>
          </w:p>
        </w:tc>
        <w:tc>
          <w:tcPr>
            <w:tcW w:w="2450" w:type="dxa"/>
            <w:noWrap w:val="0"/>
            <w:vAlign w:val="center"/>
          </w:tcPr>
          <w:p w14:paraId="0499E859">
            <w:pPr>
              <w:pStyle w:val="77"/>
              <w:keepNext w:val="0"/>
              <w:keepLines w:val="0"/>
              <w:suppressLineNumbers w:val="0"/>
              <w:spacing w:before="0" w:beforeAutospacing="0" w:after="0" w:afterAutospacing="0"/>
              <w:ind w:left="0" w:right="0"/>
              <w:jc w:val="center"/>
              <w:rPr>
                <w:rFonts w:hint="eastAsia"/>
                <w:color w:val="auto"/>
                <w:sz w:val="21"/>
                <w:szCs w:val="21"/>
                <w:highlight w:val="none"/>
                <w:lang w:val="zh-CN"/>
              </w:rPr>
            </w:pPr>
            <w:r>
              <w:rPr>
                <w:rFonts w:hint="eastAsia"/>
                <w:color w:val="auto"/>
                <w:sz w:val="21"/>
                <w:szCs w:val="21"/>
                <w:highlight w:val="none"/>
                <w:lang w:val="zh-CN"/>
              </w:rPr>
              <w:t>实质性响应要求</w:t>
            </w:r>
          </w:p>
        </w:tc>
        <w:tc>
          <w:tcPr>
            <w:tcW w:w="6161" w:type="dxa"/>
            <w:noWrap w:val="0"/>
            <w:vAlign w:val="center"/>
          </w:tcPr>
          <w:p w14:paraId="0594868B">
            <w:pPr>
              <w:pStyle w:val="77"/>
              <w:keepNext w:val="0"/>
              <w:keepLines w:val="0"/>
              <w:suppressLineNumbers w:val="0"/>
              <w:spacing w:before="0" w:beforeAutospacing="0" w:after="0" w:afterAutospacing="0"/>
              <w:ind w:left="0" w:right="0" w:firstLine="315" w:firstLineChars="15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1.供应商所有轮次报价总价不得超过最高限价；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eastAsia="zh-CN"/>
              </w:rPr>
              <w:t>2.报价对应下浮率不得低于40%。任意一项不满足均作无效响应处理</w:t>
            </w:r>
          </w:p>
        </w:tc>
      </w:tr>
      <w:tr w14:paraId="13778F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4" w:hRule="exact"/>
        </w:trPr>
        <w:tc>
          <w:tcPr>
            <w:tcW w:w="561" w:type="dxa"/>
            <w:noWrap w:val="0"/>
            <w:vAlign w:val="center"/>
          </w:tcPr>
          <w:p w14:paraId="6AD6AD58">
            <w:pPr>
              <w:pStyle w:val="77"/>
              <w:keepNext w:val="0"/>
              <w:keepLines w:val="0"/>
              <w:suppressLineNumbers w:val="0"/>
              <w:spacing w:before="0" w:beforeAutospacing="0" w:after="0" w:afterAutospacing="0"/>
              <w:ind w:left="0" w:right="0" w:firstLine="315" w:firstLineChars="150"/>
              <w:rPr>
                <w:rFonts w:hint="eastAsia"/>
                <w:color w:val="auto"/>
                <w:sz w:val="21"/>
                <w:szCs w:val="21"/>
                <w:highlight w:val="none"/>
                <w:lang w:val="zh-CN"/>
              </w:rPr>
            </w:pPr>
            <w:r>
              <w:rPr>
                <w:rFonts w:hint="eastAsia"/>
                <w:color w:val="auto"/>
                <w:sz w:val="21"/>
                <w:szCs w:val="21"/>
                <w:highlight w:val="none"/>
                <w:lang w:val="zh-CN"/>
              </w:rPr>
              <w:t>4</w:t>
            </w:r>
          </w:p>
        </w:tc>
        <w:tc>
          <w:tcPr>
            <w:tcW w:w="2450" w:type="dxa"/>
            <w:noWrap w:val="0"/>
            <w:vAlign w:val="center"/>
          </w:tcPr>
          <w:p w14:paraId="6673A15D">
            <w:pPr>
              <w:pStyle w:val="77"/>
              <w:keepNext w:val="0"/>
              <w:keepLines w:val="0"/>
              <w:suppressLineNumbers w:val="0"/>
              <w:spacing w:before="0" w:beforeAutospacing="0" w:after="0" w:afterAutospacing="0"/>
              <w:ind w:left="0" w:right="0"/>
              <w:jc w:val="center"/>
              <w:rPr>
                <w:rFonts w:hint="eastAsia"/>
                <w:color w:val="auto"/>
                <w:sz w:val="21"/>
                <w:szCs w:val="21"/>
                <w:highlight w:val="none"/>
                <w:lang w:val="zh-CN"/>
              </w:rPr>
            </w:pPr>
            <w:r>
              <w:rPr>
                <w:rFonts w:hint="eastAsia"/>
                <w:color w:val="auto"/>
                <w:sz w:val="21"/>
                <w:szCs w:val="21"/>
                <w:highlight w:val="none"/>
                <w:lang w:val="zh-CN"/>
              </w:rPr>
              <w:t>是否接受联合体参加本次磋商(实质性要求)</w:t>
            </w:r>
          </w:p>
        </w:tc>
        <w:tc>
          <w:tcPr>
            <w:tcW w:w="6161" w:type="dxa"/>
            <w:noWrap w:val="0"/>
            <w:vAlign w:val="center"/>
          </w:tcPr>
          <w:p w14:paraId="6E636BBC">
            <w:pPr>
              <w:pStyle w:val="77"/>
              <w:keepNext w:val="0"/>
              <w:keepLines w:val="0"/>
              <w:suppressLineNumbers w:val="0"/>
              <w:spacing w:before="0" w:beforeAutospacing="0" w:after="0" w:afterAutospacing="0"/>
              <w:ind w:left="0" w:right="0" w:firstLine="315" w:firstLineChars="150"/>
              <w:rPr>
                <w:rFonts w:hint="eastAsia"/>
                <w:color w:val="auto"/>
                <w:sz w:val="21"/>
                <w:szCs w:val="21"/>
                <w:highlight w:val="none"/>
                <w:lang w:val="zh-CN"/>
              </w:rPr>
            </w:pPr>
            <w:r>
              <w:rPr>
                <w:rFonts w:hint="eastAsia"/>
                <w:color w:val="auto"/>
                <w:sz w:val="21"/>
                <w:szCs w:val="21"/>
                <w:highlight w:val="none"/>
              </w:rPr>
              <w:t>本项目</w:t>
            </w:r>
            <w:r>
              <w:rPr>
                <w:rFonts w:hint="eastAsia"/>
                <w:color w:val="auto"/>
                <w:sz w:val="21"/>
                <w:szCs w:val="21"/>
                <w:highlight w:val="none"/>
                <w:lang w:val="zh-CN"/>
              </w:rPr>
              <w:t>不接受</w:t>
            </w:r>
            <w:r>
              <w:rPr>
                <w:rFonts w:hint="eastAsia"/>
                <w:color w:val="auto"/>
                <w:sz w:val="21"/>
                <w:szCs w:val="21"/>
                <w:highlight w:val="none"/>
              </w:rPr>
              <w:t>联合体参加磋商。</w:t>
            </w:r>
          </w:p>
        </w:tc>
      </w:tr>
      <w:tr w14:paraId="5743BC0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9" w:hRule="exact"/>
        </w:trPr>
        <w:tc>
          <w:tcPr>
            <w:tcW w:w="561" w:type="dxa"/>
            <w:noWrap w:val="0"/>
            <w:vAlign w:val="center"/>
          </w:tcPr>
          <w:p w14:paraId="08E99565">
            <w:pPr>
              <w:pStyle w:val="77"/>
              <w:keepNext w:val="0"/>
              <w:keepLines w:val="0"/>
              <w:suppressLineNumbers w:val="0"/>
              <w:spacing w:before="0" w:beforeAutospacing="0" w:after="0" w:afterAutospacing="0"/>
              <w:ind w:left="0" w:right="0" w:firstLine="315" w:firstLineChars="150"/>
              <w:rPr>
                <w:rFonts w:hint="eastAsia"/>
                <w:color w:val="auto"/>
                <w:sz w:val="21"/>
                <w:szCs w:val="21"/>
                <w:highlight w:val="none"/>
              </w:rPr>
            </w:pPr>
            <w:r>
              <w:rPr>
                <w:rFonts w:hint="eastAsia"/>
                <w:color w:val="auto"/>
                <w:sz w:val="21"/>
                <w:szCs w:val="21"/>
                <w:highlight w:val="none"/>
              </w:rPr>
              <w:t>5</w:t>
            </w:r>
          </w:p>
        </w:tc>
        <w:tc>
          <w:tcPr>
            <w:tcW w:w="2450" w:type="dxa"/>
            <w:noWrap w:val="0"/>
            <w:vAlign w:val="center"/>
          </w:tcPr>
          <w:p w14:paraId="21FC9BB2">
            <w:pPr>
              <w:pStyle w:val="77"/>
              <w:keepNext w:val="0"/>
              <w:keepLines w:val="0"/>
              <w:suppressLineNumbers w:val="0"/>
              <w:spacing w:before="0" w:beforeAutospacing="0" w:after="0" w:afterAutospacing="0"/>
              <w:ind w:left="0" w:right="0"/>
              <w:jc w:val="center"/>
              <w:rPr>
                <w:rFonts w:hint="eastAsia"/>
                <w:color w:val="auto"/>
                <w:sz w:val="21"/>
                <w:szCs w:val="21"/>
                <w:highlight w:val="none"/>
                <w:lang w:val="zh-CN"/>
              </w:rPr>
            </w:pPr>
            <w:r>
              <w:rPr>
                <w:rFonts w:hint="eastAsia"/>
                <w:color w:val="auto"/>
                <w:sz w:val="21"/>
                <w:szCs w:val="21"/>
                <w:highlight w:val="none"/>
                <w:lang w:val="zh-CN"/>
              </w:rPr>
              <w:t>采购方式</w:t>
            </w:r>
          </w:p>
        </w:tc>
        <w:tc>
          <w:tcPr>
            <w:tcW w:w="6161" w:type="dxa"/>
            <w:noWrap w:val="0"/>
            <w:vAlign w:val="center"/>
          </w:tcPr>
          <w:p w14:paraId="4D74F212">
            <w:pPr>
              <w:pStyle w:val="77"/>
              <w:keepNext w:val="0"/>
              <w:keepLines w:val="0"/>
              <w:suppressLineNumbers w:val="0"/>
              <w:spacing w:before="0" w:beforeAutospacing="0" w:after="0" w:afterAutospacing="0"/>
              <w:ind w:left="0" w:right="0" w:firstLine="315" w:firstLineChars="150"/>
              <w:rPr>
                <w:rFonts w:hint="eastAsia"/>
                <w:color w:val="auto"/>
                <w:sz w:val="21"/>
                <w:szCs w:val="21"/>
                <w:highlight w:val="none"/>
                <w:lang w:val="zh-CN"/>
              </w:rPr>
            </w:pPr>
            <w:r>
              <w:rPr>
                <w:rFonts w:hint="eastAsia"/>
                <w:color w:val="auto"/>
                <w:sz w:val="21"/>
                <w:szCs w:val="21"/>
                <w:highlight w:val="none"/>
                <w:lang w:val="zh-CN"/>
              </w:rPr>
              <w:t>竞争性磋商</w:t>
            </w:r>
          </w:p>
        </w:tc>
      </w:tr>
      <w:tr w14:paraId="598852C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2" w:hRule="exact"/>
        </w:trPr>
        <w:tc>
          <w:tcPr>
            <w:tcW w:w="561" w:type="dxa"/>
            <w:noWrap w:val="0"/>
            <w:vAlign w:val="center"/>
          </w:tcPr>
          <w:p w14:paraId="0916009F">
            <w:pPr>
              <w:pStyle w:val="77"/>
              <w:keepNext w:val="0"/>
              <w:keepLines w:val="0"/>
              <w:suppressLineNumbers w:val="0"/>
              <w:spacing w:before="0" w:beforeAutospacing="0" w:after="0" w:afterAutospacing="0"/>
              <w:ind w:left="0" w:right="0" w:firstLine="315" w:firstLineChars="150"/>
              <w:rPr>
                <w:rFonts w:hint="eastAsia"/>
                <w:color w:val="auto"/>
                <w:sz w:val="21"/>
                <w:szCs w:val="21"/>
                <w:highlight w:val="none"/>
                <w:lang w:val="zh-CN"/>
              </w:rPr>
            </w:pPr>
            <w:r>
              <w:rPr>
                <w:rFonts w:hint="eastAsia"/>
                <w:color w:val="auto"/>
                <w:sz w:val="21"/>
                <w:szCs w:val="21"/>
                <w:highlight w:val="none"/>
              </w:rPr>
              <w:t>6</w:t>
            </w:r>
          </w:p>
        </w:tc>
        <w:tc>
          <w:tcPr>
            <w:tcW w:w="2450" w:type="dxa"/>
            <w:noWrap w:val="0"/>
            <w:vAlign w:val="center"/>
          </w:tcPr>
          <w:p w14:paraId="0F82D3C2">
            <w:pPr>
              <w:pStyle w:val="77"/>
              <w:keepNext w:val="0"/>
              <w:keepLines w:val="0"/>
              <w:suppressLineNumbers w:val="0"/>
              <w:spacing w:before="0" w:beforeAutospacing="0" w:after="0" w:afterAutospacing="0"/>
              <w:ind w:left="0" w:right="0"/>
              <w:jc w:val="center"/>
              <w:rPr>
                <w:rFonts w:hint="eastAsia"/>
                <w:color w:val="auto"/>
                <w:sz w:val="21"/>
                <w:szCs w:val="21"/>
                <w:highlight w:val="none"/>
                <w:lang w:val="zh-CN"/>
              </w:rPr>
            </w:pPr>
            <w:r>
              <w:rPr>
                <w:rFonts w:hint="eastAsia"/>
                <w:color w:val="auto"/>
                <w:sz w:val="21"/>
                <w:szCs w:val="21"/>
                <w:highlight w:val="none"/>
                <w:lang w:val="zh-CN"/>
              </w:rPr>
              <w:t>评审方法</w:t>
            </w:r>
          </w:p>
        </w:tc>
        <w:tc>
          <w:tcPr>
            <w:tcW w:w="6161" w:type="dxa"/>
            <w:noWrap w:val="0"/>
            <w:vAlign w:val="center"/>
          </w:tcPr>
          <w:p w14:paraId="55FFAE10">
            <w:pPr>
              <w:pStyle w:val="77"/>
              <w:keepNext w:val="0"/>
              <w:keepLines w:val="0"/>
              <w:suppressLineNumbers w:val="0"/>
              <w:spacing w:before="0" w:beforeAutospacing="0" w:after="0" w:afterAutospacing="0"/>
              <w:ind w:left="0" w:right="0" w:firstLine="315" w:firstLineChars="150"/>
              <w:rPr>
                <w:rFonts w:hint="eastAsia"/>
                <w:color w:val="auto"/>
                <w:sz w:val="21"/>
                <w:szCs w:val="21"/>
                <w:highlight w:val="none"/>
                <w:lang w:val="zh-CN"/>
              </w:rPr>
            </w:pPr>
            <w:r>
              <w:rPr>
                <w:rFonts w:hint="eastAsia"/>
                <w:color w:val="auto"/>
                <w:sz w:val="21"/>
                <w:szCs w:val="21"/>
                <w:highlight w:val="none"/>
                <w:lang w:val="zh-CN"/>
              </w:rPr>
              <w:t>综合评分法</w:t>
            </w:r>
          </w:p>
        </w:tc>
      </w:tr>
      <w:tr w14:paraId="2409D5C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2" w:hRule="exact"/>
        </w:trPr>
        <w:tc>
          <w:tcPr>
            <w:tcW w:w="561" w:type="dxa"/>
            <w:noWrap w:val="0"/>
            <w:vAlign w:val="center"/>
          </w:tcPr>
          <w:p w14:paraId="47B347D6">
            <w:pPr>
              <w:pStyle w:val="77"/>
              <w:keepNext w:val="0"/>
              <w:keepLines w:val="0"/>
              <w:suppressLineNumbers w:val="0"/>
              <w:spacing w:before="0" w:beforeAutospacing="0" w:after="0" w:afterAutospacing="0"/>
              <w:ind w:left="0" w:right="0" w:firstLine="315" w:firstLineChars="150"/>
              <w:rPr>
                <w:rFonts w:hint="eastAsia"/>
                <w:color w:val="auto"/>
                <w:sz w:val="21"/>
                <w:szCs w:val="21"/>
                <w:highlight w:val="none"/>
              </w:rPr>
            </w:pPr>
            <w:r>
              <w:rPr>
                <w:rFonts w:hint="eastAsia"/>
                <w:color w:val="auto"/>
                <w:sz w:val="21"/>
                <w:szCs w:val="21"/>
                <w:highlight w:val="none"/>
              </w:rPr>
              <w:t>7</w:t>
            </w:r>
          </w:p>
        </w:tc>
        <w:tc>
          <w:tcPr>
            <w:tcW w:w="2450" w:type="dxa"/>
            <w:noWrap w:val="0"/>
            <w:vAlign w:val="center"/>
          </w:tcPr>
          <w:p w14:paraId="3DFC6935">
            <w:pPr>
              <w:pStyle w:val="77"/>
              <w:keepNext w:val="0"/>
              <w:keepLines w:val="0"/>
              <w:suppressLineNumbers w:val="0"/>
              <w:spacing w:before="0" w:beforeAutospacing="0" w:after="0" w:afterAutospacing="0"/>
              <w:ind w:left="0" w:right="0"/>
              <w:jc w:val="center"/>
              <w:rPr>
                <w:rFonts w:hint="eastAsia"/>
                <w:color w:val="auto"/>
                <w:sz w:val="21"/>
                <w:szCs w:val="21"/>
                <w:highlight w:val="none"/>
                <w:lang w:val="zh-CN"/>
              </w:rPr>
            </w:pPr>
            <w:r>
              <w:rPr>
                <w:rFonts w:hint="eastAsia"/>
                <w:color w:val="auto"/>
                <w:sz w:val="21"/>
                <w:szCs w:val="21"/>
                <w:highlight w:val="none"/>
                <w:lang w:val="zh-CN"/>
              </w:rPr>
              <w:t>采购类别</w:t>
            </w:r>
          </w:p>
        </w:tc>
        <w:tc>
          <w:tcPr>
            <w:tcW w:w="6161" w:type="dxa"/>
            <w:noWrap w:val="0"/>
            <w:vAlign w:val="center"/>
          </w:tcPr>
          <w:p w14:paraId="6CF30629">
            <w:pPr>
              <w:pStyle w:val="77"/>
              <w:keepNext w:val="0"/>
              <w:keepLines w:val="0"/>
              <w:suppressLineNumbers w:val="0"/>
              <w:spacing w:before="0" w:beforeAutospacing="0" w:after="0" w:afterAutospacing="0"/>
              <w:ind w:left="0" w:right="0" w:firstLine="315" w:firstLineChars="150"/>
              <w:rPr>
                <w:rFonts w:hint="eastAsia" w:eastAsia="宋体"/>
                <w:color w:val="auto"/>
                <w:sz w:val="21"/>
                <w:szCs w:val="21"/>
                <w:highlight w:val="none"/>
                <w:lang w:eastAsia="zh-CN"/>
              </w:rPr>
            </w:pPr>
            <w:r>
              <w:rPr>
                <w:rFonts w:hint="eastAsia"/>
                <w:color w:val="auto"/>
                <w:sz w:val="21"/>
                <w:szCs w:val="21"/>
                <w:highlight w:val="none"/>
                <w:lang w:val="en-US" w:eastAsia="zh-CN"/>
              </w:rPr>
              <w:t>服务</w:t>
            </w:r>
          </w:p>
        </w:tc>
      </w:tr>
      <w:tr w14:paraId="28DE88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8" w:hRule="exact"/>
        </w:trPr>
        <w:tc>
          <w:tcPr>
            <w:tcW w:w="561" w:type="dxa"/>
            <w:noWrap w:val="0"/>
            <w:vAlign w:val="center"/>
          </w:tcPr>
          <w:p w14:paraId="0DE44EF7">
            <w:pPr>
              <w:pStyle w:val="77"/>
              <w:keepNext w:val="0"/>
              <w:keepLines w:val="0"/>
              <w:suppressLineNumbers w:val="0"/>
              <w:spacing w:before="0" w:beforeAutospacing="0" w:after="0" w:afterAutospacing="0"/>
              <w:ind w:left="0" w:right="0" w:firstLine="315" w:firstLineChars="150"/>
              <w:rPr>
                <w:rFonts w:hint="eastAsia"/>
                <w:color w:val="auto"/>
                <w:sz w:val="21"/>
                <w:szCs w:val="21"/>
                <w:highlight w:val="none"/>
              </w:rPr>
            </w:pPr>
            <w:r>
              <w:rPr>
                <w:rFonts w:hint="eastAsia"/>
                <w:color w:val="auto"/>
                <w:sz w:val="21"/>
                <w:szCs w:val="21"/>
                <w:highlight w:val="none"/>
              </w:rPr>
              <w:t>8</w:t>
            </w:r>
          </w:p>
        </w:tc>
        <w:tc>
          <w:tcPr>
            <w:tcW w:w="2450" w:type="dxa"/>
            <w:noWrap w:val="0"/>
            <w:vAlign w:val="center"/>
          </w:tcPr>
          <w:p w14:paraId="4A993F43">
            <w:pPr>
              <w:pStyle w:val="77"/>
              <w:keepNext w:val="0"/>
              <w:keepLines w:val="0"/>
              <w:suppressLineNumbers w:val="0"/>
              <w:spacing w:before="0" w:beforeAutospacing="0" w:after="0" w:afterAutospacing="0"/>
              <w:ind w:left="0" w:right="0"/>
              <w:jc w:val="center"/>
              <w:rPr>
                <w:rFonts w:hint="eastAsia"/>
                <w:color w:val="auto"/>
                <w:sz w:val="21"/>
                <w:szCs w:val="21"/>
                <w:highlight w:val="none"/>
                <w:lang w:val="zh-CN"/>
              </w:rPr>
            </w:pPr>
            <w:r>
              <w:rPr>
                <w:rFonts w:hint="eastAsia"/>
                <w:color w:val="auto"/>
                <w:sz w:val="21"/>
                <w:szCs w:val="21"/>
                <w:highlight w:val="none"/>
                <w:lang w:val="zh-CN"/>
              </w:rPr>
              <w:t>是否专门面向中小企业（实质性要求）</w:t>
            </w:r>
          </w:p>
        </w:tc>
        <w:tc>
          <w:tcPr>
            <w:tcW w:w="6161" w:type="dxa"/>
            <w:noWrap w:val="0"/>
            <w:vAlign w:val="center"/>
          </w:tcPr>
          <w:p w14:paraId="7B5A757E">
            <w:pPr>
              <w:pStyle w:val="77"/>
              <w:keepNext w:val="0"/>
              <w:keepLines w:val="0"/>
              <w:suppressLineNumbers w:val="0"/>
              <w:spacing w:before="0" w:beforeAutospacing="0" w:after="0" w:afterAutospacing="0"/>
              <w:ind w:left="0" w:right="0" w:firstLine="315" w:firstLineChars="150"/>
              <w:rPr>
                <w:rFonts w:hint="eastAsia" w:eastAsia="宋体"/>
                <w:color w:val="auto"/>
                <w:sz w:val="21"/>
                <w:szCs w:val="21"/>
                <w:highlight w:val="none"/>
                <w:lang w:eastAsia="zh-CN"/>
              </w:rPr>
            </w:pPr>
            <w:r>
              <w:rPr>
                <w:rFonts w:hint="eastAsia"/>
                <w:color w:val="auto"/>
                <w:sz w:val="21"/>
                <w:szCs w:val="21"/>
                <w:highlight w:val="none"/>
                <w:lang w:val="en-US" w:eastAsia="zh-CN"/>
              </w:rPr>
              <w:t>否</w:t>
            </w:r>
          </w:p>
        </w:tc>
      </w:tr>
      <w:tr w14:paraId="1E6465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8" w:hRule="exact"/>
        </w:trPr>
        <w:tc>
          <w:tcPr>
            <w:tcW w:w="561" w:type="dxa"/>
            <w:noWrap w:val="0"/>
            <w:vAlign w:val="center"/>
          </w:tcPr>
          <w:p w14:paraId="38FBECA2">
            <w:pPr>
              <w:pStyle w:val="77"/>
              <w:keepNext w:val="0"/>
              <w:keepLines w:val="0"/>
              <w:suppressLineNumbers w:val="0"/>
              <w:spacing w:before="0" w:beforeAutospacing="0" w:after="0" w:afterAutospacing="0"/>
              <w:ind w:left="0" w:right="0" w:firstLine="315" w:firstLineChars="150"/>
              <w:rPr>
                <w:rFonts w:hint="eastAsia" w:eastAsia="宋体"/>
                <w:color w:val="auto"/>
                <w:sz w:val="21"/>
                <w:szCs w:val="21"/>
                <w:highlight w:val="none"/>
                <w:lang w:val="en-US" w:eastAsia="zh-CN"/>
              </w:rPr>
            </w:pPr>
            <w:r>
              <w:rPr>
                <w:rFonts w:hint="eastAsia"/>
                <w:color w:val="auto"/>
                <w:sz w:val="21"/>
                <w:szCs w:val="21"/>
                <w:highlight w:val="none"/>
                <w:lang w:val="en-US" w:eastAsia="zh-CN"/>
              </w:rPr>
              <w:t>9</w:t>
            </w:r>
          </w:p>
        </w:tc>
        <w:tc>
          <w:tcPr>
            <w:tcW w:w="2450" w:type="dxa"/>
            <w:noWrap w:val="0"/>
            <w:vAlign w:val="center"/>
          </w:tcPr>
          <w:p w14:paraId="5394AA3D">
            <w:pPr>
              <w:pStyle w:val="77"/>
              <w:keepNext w:val="0"/>
              <w:keepLines w:val="0"/>
              <w:suppressLineNumbers w:val="0"/>
              <w:spacing w:before="0" w:beforeAutospacing="0" w:after="0" w:afterAutospacing="0"/>
              <w:ind w:left="0" w:right="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报价形式</w:t>
            </w:r>
          </w:p>
        </w:tc>
        <w:tc>
          <w:tcPr>
            <w:tcW w:w="6161" w:type="dxa"/>
            <w:noWrap w:val="0"/>
            <w:vAlign w:val="center"/>
          </w:tcPr>
          <w:p w14:paraId="185F50BF">
            <w:pPr>
              <w:pStyle w:val="77"/>
              <w:keepNext w:val="0"/>
              <w:keepLines w:val="0"/>
              <w:suppressLineNumbers w:val="0"/>
              <w:spacing w:before="0" w:beforeAutospacing="0" w:after="0" w:afterAutospacing="0"/>
              <w:ind w:left="0" w:right="0" w:firstLine="315" w:firstLineChars="150"/>
              <w:rPr>
                <w:rFonts w:hint="default"/>
                <w:color w:val="auto"/>
                <w:sz w:val="21"/>
                <w:szCs w:val="21"/>
                <w:highlight w:val="none"/>
                <w:lang w:val="en-US" w:eastAsia="zh-CN"/>
              </w:rPr>
            </w:pPr>
            <w:r>
              <w:rPr>
                <w:rFonts w:hint="eastAsia"/>
                <w:color w:val="auto"/>
                <w:sz w:val="21"/>
                <w:szCs w:val="21"/>
                <w:highlight w:val="none"/>
                <w:lang w:val="en-US" w:eastAsia="zh-CN"/>
              </w:rPr>
              <w:t>下浮率</w:t>
            </w:r>
          </w:p>
        </w:tc>
      </w:tr>
      <w:tr w14:paraId="4B613C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64" w:hRule="atLeast"/>
        </w:trPr>
        <w:tc>
          <w:tcPr>
            <w:tcW w:w="561" w:type="dxa"/>
            <w:noWrap w:val="0"/>
            <w:vAlign w:val="center"/>
          </w:tcPr>
          <w:p w14:paraId="01B75535">
            <w:pPr>
              <w:pStyle w:val="77"/>
              <w:keepNext w:val="0"/>
              <w:keepLines w:val="0"/>
              <w:suppressLineNumbers w:val="0"/>
              <w:spacing w:before="0" w:beforeAutospacing="0" w:after="0" w:afterAutospacing="0"/>
              <w:ind w:left="0" w:right="0" w:firstLine="315" w:firstLineChars="150"/>
              <w:rPr>
                <w:rFonts w:hint="default" w:eastAsia="宋体"/>
                <w:color w:val="auto"/>
                <w:sz w:val="21"/>
                <w:szCs w:val="21"/>
                <w:highlight w:val="none"/>
                <w:lang w:val="en-US" w:eastAsia="zh-CN"/>
              </w:rPr>
            </w:pPr>
            <w:r>
              <w:rPr>
                <w:rFonts w:hint="eastAsia"/>
                <w:color w:val="auto"/>
                <w:sz w:val="21"/>
                <w:szCs w:val="21"/>
                <w:highlight w:val="none"/>
                <w:lang w:val="en-US" w:eastAsia="zh-CN"/>
              </w:rPr>
              <w:t>10</w:t>
            </w:r>
          </w:p>
        </w:tc>
        <w:tc>
          <w:tcPr>
            <w:tcW w:w="2450" w:type="dxa"/>
            <w:noWrap w:val="0"/>
            <w:vAlign w:val="center"/>
          </w:tcPr>
          <w:p w14:paraId="336DCC23">
            <w:pPr>
              <w:pStyle w:val="77"/>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4"/>
                <w:highlight w:val="none"/>
                <w:lang w:val="zh-CN" w:eastAsia="zh-CN" w:bidi="ar-SA"/>
              </w:rPr>
            </w:pPr>
            <w:r>
              <w:rPr>
                <w:rFonts w:hint="eastAsia" w:ascii="Times New Roman" w:hAnsi="Times New Roman" w:eastAsia="宋体" w:cs="Times New Roman"/>
                <w:color w:val="auto"/>
                <w:kern w:val="2"/>
                <w:sz w:val="21"/>
                <w:szCs w:val="24"/>
                <w:highlight w:val="none"/>
                <w:lang w:val="zh-CN" w:eastAsia="zh-CN" w:bidi="ar-SA"/>
              </w:rPr>
              <w:t>小微企业（监狱企业、残疾人福利性单位视同小微企业）价格扣除</w:t>
            </w:r>
          </w:p>
          <w:p w14:paraId="2C30E3F7">
            <w:pPr>
              <w:pStyle w:val="77"/>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4"/>
                <w:highlight w:val="none"/>
                <w:lang w:val="zh-CN" w:eastAsia="zh-CN" w:bidi="ar-SA"/>
              </w:rPr>
            </w:pPr>
            <w:r>
              <w:rPr>
                <w:rFonts w:hint="eastAsia" w:ascii="Times New Roman" w:hAnsi="Times New Roman" w:eastAsia="宋体" w:cs="Times New Roman"/>
                <w:color w:val="auto"/>
                <w:kern w:val="2"/>
                <w:sz w:val="21"/>
                <w:szCs w:val="24"/>
                <w:highlight w:val="none"/>
                <w:lang w:val="zh-CN" w:eastAsia="zh-CN" w:bidi="ar-SA"/>
              </w:rPr>
              <w:t>（实质性要求）</w:t>
            </w:r>
          </w:p>
        </w:tc>
        <w:tc>
          <w:tcPr>
            <w:tcW w:w="6161" w:type="dxa"/>
            <w:noWrap w:val="0"/>
            <w:vAlign w:val="center"/>
          </w:tcPr>
          <w:p w14:paraId="3E5FB691">
            <w:pPr>
              <w:pStyle w:val="77"/>
              <w:keepNext w:val="0"/>
              <w:keepLines w:val="0"/>
              <w:suppressLineNumbers w:val="0"/>
              <w:spacing w:before="0" w:beforeAutospacing="0" w:after="0" w:afterAutospacing="0"/>
              <w:ind w:left="0" w:right="0" w:firstLine="315" w:firstLineChars="150"/>
              <w:rPr>
                <w:rFonts w:hint="eastAsia" w:ascii="Times New Roman" w:hAnsi="Times New Roman" w:eastAsia="宋体" w:cs="Times New Roman"/>
                <w:color w:val="auto"/>
                <w:kern w:val="2"/>
                <w:sz w:val="21"/>
                <w:szCs w:val="24"/>
                <w:highlight w:val="none"/>
                <w:lang w:val="zh-CN" w:eastAsia="zh-CN" w:bidi="ar-SA"/>
              </w:rPr>
            </w:pPr>
            <w:r>
              <w:rPr>
                <w:rFonts w:hint="eastAsia" w:ascii="Times New Roman" w:hAnsi="Times New Roman" w:eastAsia="宋体" w:cs="Times New Roman"/>
                <w:color w:val="auto"/>
                <w:kern w:val="2"/>
                <w:sz w:val="21"/>
                <w:szCs w:val="24"/>
                <w:highlight w:val="none"/>
                <w:lang w:val="zh-CN" w:eastAsia="zh-CN" w:bidi="ar-SA"/>
              </w:rPr>
              <w:t>1.根据《政府采购促进中小企业发展管理办法》（财库〔2020〕46号）的规定，对符合本办法规定的小微企业报价给予10%的扣除，用扣除后的价格参加评审。</w:t>
            </w:r>
          </w:p>
          <w:p w14:paraId="3FACB54F">
            <w:pPr>
              <w:pStyle w:val="77"/>
              <w:keepNext w:val="0"/>
              <w:keepLines w:val="0"/>
              <w:suppressLineNumbers w:val="0"/>
              <w:spacing w:before="0" w:beforeAutospacing="0" w:after="0" w:afterAutospacing="0"/>
              <w:ind w:left="0" w:right="0" w:firstLine="315" w:firstLineChars="150"/>
              <w:rPr>
                <w:rFonts w:hint="eastAsia" w:ascii="Times New Roman" w:hAnsi="Times New Roman" w:eastAsia="宋体" w:cs="Times New Roman"/>
                <w:color w:val="auto"/>
                <w:kern w:val="2"/>
                <w:sz w:val="21"/>
                <w:szCs w:val="24"/>
                <w:highlight w:val="none"/>
                <w:lang w:val="zh-CN" w:eastAsia="zh-CN" w:bidi="ar-SA"/>
              </w:rPr>
            </w:pPr>
            <w:r>
              <w:rPr>
                <w:rFonts w:hint="eastAsia" w:ascii="Times New Roman" w:hAnsi="Times New Roman" w:eastAsia="宋体" w:cs="Times New Roman"/>
                <w:color w:val="auto"/>
                <w:kern w:val="2"/>
                <w:sz w:val="21"/>
                <w:szCs w:val="24"/>
                <w:highlight w:val="none"/>
                <w:lang w:val="zh-CN" w:eastAsia="zh-CN" w:bidi="ar-SA"/>
              </w:rPr>
              <w:t>2.参加采购活动的中小企业应当提供《中小企业声明函》原件,监狱企业应当提供《监狱企业证明》原件，残疾人福利性单位应当提供《残疾人福利性单位声明函》原件，未提供的，视为放弃享受小微企业价格扣除优惠政策。</w:t>
            </w:r>
          </w:p>
        </w:tc>
      </w:tr>
      <w:tr w14:paraId="77E42E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5" w:hRule="exact"/>
        </w:trPr>
        <w:tc>
          <w:tcPr>
            <w:tcW w:w="561" w:type="dxa"/>
            <w:noWrap w:val="0"/>
            <w:vAlign w:val="center"/>
          </w:tcPr>
          <w:p w14:paraId="542C12B5">
            <w:pPr>
              <w:pStyle w:val="77"/>
              <w:keepNext w:val="0"/>
              <w:keepLines w:val="0"/>
              <w:suppressLineNumbers w:val="0"/>
              <w:spacing w:before="0" w:beforeAutospacing="0" w:after="0" w:afterAutospacing="0"/>
              <w:ind w:left="0" w:right="0" w:firstLine="315" w:firstLineChars="150"/>
              <w:rPr>
                <w:rFonts w:hint="default" w:eastAsia="宋体"/>
                <w:color w:val="auto"/>
                <w:sz w:val="21"/>
                <w:szCs w:val="21"/>
                <w:highlight w:val="none"/>
                <w:lang w:val="en-US" w:eastAsia="zh-CN"/>
              </w:rPr>
            </w:pPr>
            <w:r>
              <w:rPr>
                <w:rFonts w:hint="eastAsia"/>
                <w:color w:val="auto"/>
                <w:sz w:val="21"/>
                <w:szCs w:val="21"/>
                <w:highlight w:val="none"/>
                <w:lang w:val="en-US" w:eastAsia="zh-CN"/>
              </w:rPr>
              <w:t>11</w:t>
            </w:r>
          </w:p>
        </w:tc>
        <w:tc>
          <w:tcPr>
            <w:tcW w:w="2450" w:type="dxa"/>
            <w:noWrap w:val="0"/>
            <w:vAlign w:val="center"/>
          </w:tcPr>
          <w:p w14:paraId="7E741263">
            <w:pPr>
              <w:pStyle w:val="77"/>
              <w:keepNext w:val="0"/>
              <w:keepLines w:val="0"/>
              <w:suppressLineNumbers w:val="0"/>
              <w:spacing w:before="0" w:beforeAutospacing="0" w:after="0" w:afterAutospacing="0"/>
              <w:ind w:left="0" w:right="0"/>
              <w:jc w:val="center"/>
              <w:rPr>
                <w:rFonts w:hint="eastAsia"/>
                <w:color w:val="auto"/>
                <w:sz w:val="21"/>
                <w:szCs w:val="21"/>
                <w:highlight w:val="none"/>
                <w:lang w:val="zh-CN"/>
              </w:rPr>
            </w:pPr>
            <w:r>
              <w:rPr>
                <w:rFonts w:hint="eastAsia"/>
                <w:color w:val="auto"/>
                <w:sz w:val="21"/>
                <w:szCs w:val="21"/>
                <w:highlight w:val="none"/>
                <w:lang w:val="zh-CN"/>
              </w:rPr>
              <w:t>磋商情况公告</w:t>
            </w:r>
          </w:p>
        </w:tc>
        <w:tc>
          <w:tcPr>
            <w:tcW w:w="6161" w:type="dxa"/>
            <w:noWrap w:val="0"/>
            <w:vAlign w:val="center"/>
          </w:tcPr>
          <w:p w14:paraId="52B3A711">
            <w:pPr>
              <w:pStyle w:val="77"/>
              <w:keepNext w:val="0"/>
              <w:keepLines w:val="0"/>
              <w:suppressLineNumbers w:val="0"/>
              <w:spacing w:before="0" w:beforeAutospacing="0" w:after="0" w:afterAutospacing="0"/>
              <w:ind w:left="0" w:right="0" w:firstLine="420" w:firstLineChars="200"/>
              <w:jc w:val="both"/>
              <w:rPr>
                <w:rFonts w:hint="eastAsia"/>
                <w:color w:val="auto"/>
                <w:sz w:val="21"/>
                <w:szCs w:val="21"/>
                <w:highlight w:val="none"/>
                <w:lang w:val="zh-CN"/>
              </w:rPr>
            </w:pPr>
            <w:r>
              <w:rPr>
                <w:rFonts w:hint="eastAsia"/>
                <w:color w:val="auto"/>
                <w:sz w:val="21"/>
                <w:szCs w:val="21"/>
                <w:highlight w:val="none"/>
                <w:lang w:val="zh-CN"/>
              </w:rPr>
              <w:t>磋商结果公告在</w:t>
            </w:r>
            <w:r>
              <w:rPr>
                <w:rFonts w:hint="eastAsia" w:ascii="宋体" w:hAnsi="宋体" w:eastAsia="宋体" w:cs="宋体"/>
                <w:color w:val="auto"/>
                <w:sz w:val="21"/>
                <w:szCs w:val="21"/>
                <w:highlight w:val="none"/>
                <w:lang w:val="zh-CN" w:eastAsia="zh-CN"/>
              </w:rPr>
              <w:t>四川信息职业技术学院官网主页（www.scitc.edu.cn）→ 通知公告栏</w:t>
            </w:r>
            <w:r>
              <w:rPr>
                <w:rFonts w:hint="eastAsia"/>
                <w:color w:val="auto"/>
                <w:sz w:val="21"/>
                <w:szCs w:val="21"/>
                <w:highlight w:val="none"/>
                <w:lang w:val="zh-CN"/>
              </w:rPr>
              <w:t>。</w:t>
            </w:r>
          </w:p>
        </w:tc>
      </w:tr>
      <w:tr w14:paraId="4A7BFE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trPr>
        <w:tc>
          <w:tcPr>
            <w:tcW w:w="561" w:type="dxa"/>
            <w:noWrap w:val="0"/>
            <w:vAlign w:val="center"/>
          </w:tcPr>
          <w:p w14:paraId="425E3B68">
            <w:pPr>
              <w:pStyle w:val="77"/>
              <w:keepNext w:val="0"/>
              <w:keepLines w:val="0"/>
              <w:suppressLineNumbers w:val="0"/>
              <w:spacing w:before="0" w:beforeAutospacing="0" w:after="0" w:afterAutospacing="0"/>
              <w:ind w:left="0" w:right="0" w:firstLine="315" w:firstLineChars="150"/>
              <w:rPr>
                <w:rFonts w:hint="default" w:eastAsia="宋体"/>
                <w:color w:val="auto"/>
                <w:sz w:val="21"/>
                <w:szCs w:val="21"/>
                <w:highlight w:val="none"/>
                <w:lang w:val="en-US" w:eastAsia="zh-CN"/>
              </w:rPr>
            </w:pPr>
            <w:r>
              <w:rPr>
                <w:rFonts w:hint="eastAsia"/>
                <w:color w:val="auto"/>
                <w:sz w:val="21"/>
                <w:szCs w:val="21"/>
                <w:highlight w:val="none"/>
                <w:lang w:val="en-US" w:eastAsia="zh-CN"/>
              </w:rPr>
              <w:t>12</w:t>
            </w:r>
          </w:p>
        </w:tc>
        <w:tc>
          <w:tcPr>
            <w:tcW w:w="2450" w:type="dxa"/>
            <w:noWrap w:val="0"/>
            <w:vAlign w:val="center"/>
          </w:tcPr>
          <w:p w14:paraId="37EB6FC1">
            <w:pPr>
              <w:pStyle w:val="77"/>
              <w:keepNext w:val="0"/>
              <w:keepLines w:val="0"/>
              <w:suppressLineNumbers w:val="0"/>
              <w:spacing w:before="0" w:beforeAutospacing="0" w:after="0" w:afterAutospacing="0"/>
              <w:ind w:left="0" w:right="0"/>
              <w:jc w:val="center"/>
              <w:rPr>
                <w:rFonts w:hint="default" w:eastAsia="宋体"/>
                <w:color w:val="auto"/>
                <w:sz w:val="21"/>
                <w:szCs w:val="21"/>
                <w:highlight w:val="none"/>
                <w:lang w:val="en-US" w:eastAsia="zh-CN"/>
              </w:rPr>
            </w:pPr>
            <w:r>
              <w:rPr>
                <w:rFonts w:hint="eastAsia"/>
                <w:color w:val="auto"/>
                <w:sz w:val="21"/>
                <w:szCs w:val="21"/>
                <w:highlight w:val="none"/>
                <w:lang w:val="zh-CN"/>
              </w:rPr>
              <w:t>磋商保证金</w:t>
            </w:r>
            <w:r>
              <w:rPr>
                <w:rFonts w:hint="eastAsia"/>
                <w:color w:val="auto"/>
                <w:sz w:val="21"/>
                <w:szCs w:val="21"/>
                <w:highlight w:val="none"/>
                <w:lang w:val="en-US" w:eastAsia="zh-CN"/>
              </w:rPr>
              <w:t>和履约保证金</w:t>
            </w:r>
          </w:p>
        </w:tc>
        <w:tc>
          <w:tcPr>
            <w:tcW w:w="6161" w:type="dxa"/>
            <w:noWrap w:val="0"/>
            <w:vAlign w:val="center"/>
          </w:tcPr>
          <w:p w14:paraId="44E6B0A0">
            <w:pPr>
              <w:keepNext w:val="0"/>
              <w:keepLines w:val="0"/>
              <w:suppressLineNumbers w:val="0"/>
              <w:adjustRightInd w:val="0"/>
              <w:snapToGrid w:val="0"/>
              <w:spacing w:before="0" w:beforeAutospacing="0" w:after="0" w:afterAutospacing="0" w:line="360" w:lineRule="auto"/>
              <w:ind w:left="0" w:right="0" w:firstLine="315" w:firstLineChars="150"/>
              <w:jc w:val="both"/>
              <w:rPr>
                <w:rFonts w:hint="eastAsia" w:ascii="Times New Roman" w:hAnsi="Times New Roman" w:cs="Times New Roman"/>
                <w:color w:val="auto"/>
                <w:sz w:val="21"/>
                <w:szCs w:val="21"/>
                <w:highlight w:val="none"/>
                <w:lang w:val="zh-CN"/>
              </w:rPr>
            </w:pPr>
            <w:r>
              <w:rPr>
                <w:rFonts w:hint="eastAsia" w:ascii="宋体" w:hAnsi="宋体" w:cs="宋体"/>
                <w:color w:val="auto"/>
                <w:kern w:val="0"/>
                <w:szCs w:val="21"/>
                <w:highlight w:val="none"/>
              </w:rPr>
              <w:t>本项目不收取磋商保证金</w:t>
            </w:r>
            <w:r>
              <w:rPr>
                <w:rFonts w:hint="eastAsia" w:ascii="宋体" w:hAnsi="宋体" w:cs="宋体"/>
                <w:color w:val="auto"/>
                <w:kern w:val="0"/>
                <w:szCs w:val="21"/>
                <w:highlight w:val="none"/>
                <w:lang w:val="en-US" w:eastAsia="zh-CN"/>
              </w:rPr>
              <w:t>和履约保证金</w:t>
            </w:r>
            <w:r>
              <w:rPr>
                <w:rFonts w:hint="eastAsia" w:ascii="宋体" w:hAnsi="宋体" w:cs="宋体"/>
                <w:color w:val="auto"/>
                <w:kern w:val="0"/>
                <w:szCs w:val="21"/>
                <w:highlight w:val="none"/>
              </w:rPr>
              <w:t>。</w:t>
            </w:r>
          </w:p>
        </w:tc>
      </w:tr>
      <w:tr w14:paraId="0C969C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9" w:hRule="exact"/>
        </w:trPr>
        <w:tc>
          <w:tcPr>
            <w:tcW w:w="561" w:type="dxa"/>
            <w:noWrap w:val="0"/>
            <w:vAlign w:val="center"/>
          </w:tcPr>
          <w:p w14:paraId="5567E643">
            <w:pPr>
              <w:pStyle w:val="77"/>
              <w:keepNext w:val="0"/>
              <w:keepLines w:val="0"/>
              <w:suppressLineNumbers w:val="0"/>
              <w:spacing w:before="0" w:beforeAutospacing="0" w:after="0" w:afterAutospacing="0"/>
              <w:ind w:left="0" w:right="0" w:firstLine="315" w:firstLineChars="150"/>
              <w:rPr>
                <w:rFonts w:hint="default" w:eastAsia="宋体"/>
                <w:color w:val="auto"/>
                <w:sz w:val="21"/>
                <w:szCs w:val="21"/>
                <w:highlight w:val="none"/>
                <w:lang w:val="en-US" w:eastAsia="zh-CN"/>
              </w:rPr>
            </w:pPr>
            <w:r>
              <w:rPr>
                <w:rFonts w:hint="eastAsia"/>
                <w:color w:val="auto"/>
                <w:sz w:val="21"/>
                <w:szCs w:val="21"/>
                <w:highlight w:val="none"/>
                <w:lang w:val="en-US" w:eastAsia="zh-CN"/>
              </w:rPr>
              <w:t>13</w:t>
            </w:r>
          </w:p>
        </w:tc>
        <w:tc>
          <w:tcPr>
            <w:tcW w:w="2450" w:type="dxa"/>
            <w:noWrap w:val="0"/>
            <w:vAlign w:val="center"/>
          </w:tcPr>
          <w:p w14:paraId="11A200EA">
            <w:pPr>
              <w:pStyle w:val="77"/>
              <w:keepNext w:val="0"/>
              <w:keepLines w:val="0"/>
              <w:suppressLineNumbers w:val="0"/>
              <w:spacing w:before="0" w:beforeAutospacing="0" w:after="0" w:afterAutospacing="0"/>
              <w:ind w:left="0" w:right="0"/>
              <w:jc w:val="center"/>
              <w:rPr>
                <w:rFonts w:hint="eastAsia"/>
                <w:color w:val="auto"/>
                <w:sz w:val="21"/>
                <w:szCs w:val="21"/>
                <w:highlight w:val="none"/>
                <w:lang w:val="zh-CN"/>
              </w:rPr>
            </w:pPr>
            <w:r>
              <w:rPr>
                <w:rFonts w:hint="eastAsia"/>
                <w:color w:val="auto"/>
                <w:sz w:val="21"/>
                <w:szCs w:val="21"/>
                <w:highlight w:val="none"/>
                <w:lang w:val="zh-CN"/>
              </w:rPr>
              <w:t>磋商文件咨询</w:t>
            </w:r>
          </w:p>
        </w:tc>
        <w:tc>
          <w:tcPr>
            <w:tcW w:w="6161" w:type="dxa"/>
            <w:noWrap w:val="0"/>
            <w:vAlign w:val="center"/>
          </w:tcPr>
          <w:p w14:paraId="53666CE8">
            <w:pPr>
              <w:pStyle w:val="77"/>
              <w:keepNext w:val="0"/>
              <w:keepLines w:val="0"/>
              <w:suppressLineNumbers w:val="0"/>
              <w:spacing w:before="0" w:beforeAutospacing="0" w:after="0" w:afterAutospacing="0"/>
              <w:ind w:left="0" w:right="0" w:firstLine="315" w:firstLineChars="150"/>
              <w:rPr>
                <w:rFonts w:hint="eastAsia"/>
                <w:color w:val="auto"/>
                <w:sz w:val="21"/>
                <w:szCs w:val="21"/>
                <w:highlight w:val="none"/>
                <w:lang w:val="zh-CN"/>
              </w:rPr>
            </w:pPr>
            <w:r>
              <w:rPr>
                <w:rFonts w:hint="eastAsia"/>
                <w:color w:val="auto"/>
                <w:sz w:val="21"/>
                <w:szCs w:val="21"/>
                <w:highlight w:val="none"/>
                <w:lang w:val="zh-CN"/>
              </w:rPr>
              <w:t>联系人：</w:t>
            </w:r>
            <w:r>
              <w:rPr>
                <w:rFonts w:hint="eastAsia"/>
                <w:color w:val="auto"/>
                <w:sz w:val="21"/>
                <w:szCs w:val="21"/>
                <w:highlight w:val="none"/>
                <w:lang w:val="en-US" w:eastAsia="zh-CN"/>
              </w:rPr>
              <w:t xml:space="preserve">何老师           </w:t>
            </w:r>
            <w:r>
              <w:rPr>
                <w:rFonts w:hint="eastAsia"/>
                <w:color w:val="auto"/>
                <w:sz w:val="21"/>
                <w:szCs w:val="21"/>
                <w:highlight w:val="none"/>
              </w:rPr>
              <w:t>联系电话：</w:t>
            </w:r>
            <w:r>
              <w:rPr>
                <w:rFonts w:hint="eastAsia"/>
                <w:color w:val="auto"/>
                <w:sz w:val="21"/>
                <w:szCs w:val="21"/>
                <w:highlight w:val="none"/>
                <w:lang w:eastAsia="zh-CN"/>
              </w:rPr>
              <w:t>18111361551</w:t>
            </w:r>
          </w:p>
        </w:tc>
      </w:tr>
      <w:tr w14:paraId="3ED540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26" w:hRule="exact"/>
        </w:trPr>
        <w:tc>
          <w:tcPr>
            <w:tcW w:w="561" w:type="dxa"/>
            <w:noWrap w:val="0"/>
            <w:vAlign w:val="center"/>
          </w:tcPr>
          <w:p w14:paraId="0D6679D2">
            <w:pPr>
              <w:pStyle w:val="77"/>
              <w:keepNext w:val="0"/>
              <w:keepLines w:val="0"/>
              <w:suppressLineNumbers w:val="0"/>
              <w:spacing w:before="0" w:beforeAutospacing="0" w:after="0" w:afterAutospacing="0"/>
              <w:ind w:left="0" w:right="0" w:firstLine="315" w:firstLineChars="150"/>
              <w:rPr>
                <w:rFonts w:hint="default" w:eastAsia="宋体"/>
                <w:color w:val="auto"/>
                <w:sz w:val="21"/>
                <w:szCs w:val="21"/>
                <w:highlight w:val="none"/>
                <w:lang w:val="en-US" w:eastAsia="zh-CN"/>
              </w:rPr>
            </w:pPr>
            <w:r>
              <w:rPr>
                <w:rFonts w:hint="eastAsia"/>
                <w:color w:val="auto"/>
                <w:sz w:val="21"/>
                <w:szCs w:val="21"/>
                <w:highlight w:val="none"/>
                <w:lang w:val="en-US" w:eastAsia="zh-CN"/>
              </w:rPr>
              <w:t>14</w:t>
            </w:r>
          </w:p>
        </w:tc>
        <w:tc>
          <w:tcPr>
            <w:tcW w:w="2450" w:type="dxa"/>
            <w:noWrap w:val="0"/>
            <w:vAlign w:val="center"/>
          </w:tcPr>
          <w:p w14:paraId="3FEAA559">
            <w:pPr>
              <w:pStyle w:val="77"/>
              <w:keepNext w:val="0"/>
              <w:keepLines w:val="0"/>
              <w:suppressLineNumbers w:val="0"/>
              <w:spacing w:before="0" w:beforeAutospacing="0" w:after="0" w:afterAutospacing="0"/>
              <w:ind w:left="0" w:right="0"/>
              <w:jc w:val="center"/>
              <w:rPr>
                <w:rFonts w:hint="eastAsia"/>
                <w:color w:val="auto"/>
                <w:sz w:val="21"/>
                <w:szCs w:val="21"/>
                <w:highlight w:val="none"/>
                <w:lang w:val="zh-CN"/>
              </w:rPr>
            </w:pPr>
            <w:r>
              <w:rPr>
                <w:rFonts w:hint="eastAsia"/>
                <w:color w:val="auto"/>
                <w:sz w:val="21"/>
                <w:szCs w:val="21"/>
                <w:highlight w:val="none"/>
                <w:lang w:val="zh-CN"/>
              </w:rPr>
              <w:t>成交通知书领取</w:t>
            </w:r>
          </w:p>
        </w:tc>
        <w:tc>
          <w:tcPr>
            <w:tcW w:w="6161" w:type="dxa"/>
            <w:noWrap w:val="0"/>
            <w:vAlign w:val="center"/>
          </w:tcPr>
          <w:p w14:paraId="571871F6">
            <w:pPr>
              <w:pStyle w:val="77"/>
              <w:keepNext w:val="0"/>
              <w:keepLines w:val="0"/>
              <w:suppressLineNumbers w:val="0"/>
              <w:spacing w:before="0" w:beforeAutospacing="0" w:after="0" w:afterAutospacing="0"/>
              <w:ind w:left="0" w:right="0" w:firstLine="420" w:firstLineChars="200"/>
              <w:rPr>
                <w:rFonts w:hint="eastAsia"/>
                <w:color w:val="auto"/>
                <w:sz w:val="21"/>
                <w:szCs w:val="21"/>
                <w:highlight w:val="none"/>
                <w:lang w:val="zh-CN"/>
              </w:rPr>
            </w:pPr>
            <w:r>
              <w:rPr>
                <w:rFonts w:hint="eastAsia"/>
                <w:color w:val="auto"/>
                <w:sz w:val="21"/>
                <w:szCs w:val="21"/>
                <w:highlight w:val="none"/>
                <w:lang w:val="zh-CN"/>
              </w:rPr>
              <w:t>采购结果公告在四川信息职业技术学院主页上发布后，请成交供应商凭有效身份证明证件到审计处领取成交通知书（广元市利州区学府路265号综合楼0922办公室）。</w:t>
            </w:r>
          </w:p>
        </w:tc>
      </w:tr>
      <w:bookmarkEnd w:id="20"/>
      <w:bookmarkEnd w:id="21"/>
    </w:tbl>
    <w:p w14:paraId="06E54DD6">
      <w:pPr>
        <w:keepNext w:val="0"/>
        <w:keepLines w:val="0"/>
        <w:pageBreakBefore w:val="0"/>
        <w:widowControl w:val="0"/>
        <w:kinsoku/>
        <w:wordWrap/>
        <w:overflowPunct/>
        <w:topLinePunct w:val="0"/>
        <w:autoSpaceDE/>
        <w:autoSpaceDN/>
        <w:bidi w:val="0"/>
        <w:adjustRightInd w:val="0"/>
        <w:snapToGrid w:val="0"/>
        <w:spacing w:line="360" w:lineRule="auto"/>
        <w:ind w:firstLine="361" w:firstLineChars="150"/>
        <w:jc w:val="left"/>
        <w:textAlignment w:val="auto"/>
        <w:outlineLvl w:val="9"/>
        <w:rPr>
          <w:rFonts w:hint="eastAsia" w:ascii="宋体" w:hAnsi="宋体" w:cs="宋体"/>
          <w:bCs/>
          <w:color w:val="auto"/>
          <w:sz w:val="32"/>
          <w:szCs w:val="32"/>
          <w:highlight w:val="none"/>
        </w:rPr>
      </w:pPr>
      <w:r>
        <w:rPr>
          <w:rFonts w:hint="eastAsia" w:ascii="宋体" w:hAnsi="宋体" w:cs="宋体"/>
          <w:b/>
          <w:color w:val="auto"/>
          <w:sz w:val="24"/>
          <w:highlight w:val="none"/>
        </w:rPr>
        <w:t>一、供应商磋商须知附表</w:t>
      </w:r>
      <w:bookmarkEnd w:id="22"/>
    </w:p>
    <w:p w14:paraId="065D5D0A">
      <w:pPr>
        <w:pStyle w:val="77"/>
        <w:ind w:firstLine="315" w:firstLineChars="150"/>
        <w:rPr>
          <w:rFonts w:hint="eastAsia"/>
          <w:color w:val="auto"/>
          <w:sz w:val="21"/>
          <w:szCs w:val="21"/>
          <w:highlight w:val="none"/>
          <w:lang w:val="zh-CN"/>
        </w:rPr>
      </w:pPr>
    </w:p>
    <w:p w14:paraId="55974D43">
      <w:pPr>
        <w:adjustRightInd w:val="0"/>
        <w:snapToGrid w:val="0"/>
        <w:spacing w:line="360" w:lineRule="auto"/>
        <w:ind w:firstLine="361" w:firstLineChars="150"/>
        <w:jc w:val="center"/>
        <w:rPr>
          <w:rFonts w:hint="eastAsia" w:ascii="宋体" w:hAnsi="宋体" w:cs="宋体"/>
          <w:b/>
          <w:color w:val="auto"/>
          <w:sz w:val="24"/>
          <w:highlight w:val="none"/>
        </w:rPr>
      </w:pPr>
      <w:bookmarkStart w:id="23" w:name="_Toc20549"/>
      <w:bookmarkStart w:id="24" w:name="_Toc8770"/>
      <w:r>
        <w:rPr>
          <w:rFonts w:hint="eastAsia" w:ascii="宋体" w:hAnsi="宋体" w:cs="宋体"/>
          <w:b/>
          <w:color w:val="auto"/>
          <w:sz w:val="24"/>
          <w:highlight w:val="none"/>
        </w:rPr>
        <w:t>二、总  则</w:t>
      </w:r>
      <w:bookmarkEnd w:id="23"/>
      <w:bookmarkEnd w:id="24"/>
    </w:p>
    <w:p w14:paraId="2654CB04">
      <w:pPr>
        <w:adjustRightInd w:val="0"/>
        <w:snapToGrid w:val="0"/>
        <w:spacing w:line="360" w:lineRule="auto"/>
        <w:ind w:firstLine="361" w:firstLineChars="150"/>
        <w:jc w:val="left"/>
        <w:rPr>
          <w:rFonts w:hint="eastAsia" w:ascii="宋体" w:hAnsi="宋体" w:cs="宋体"/>
          <w:color w:val="auto"/>
          <w:sz w:val="24"/>
          <w:highlight w:val="none"/>
        </w:rPr>
      </w:pPr>
      <w:r>
        <w:rPr>
          <w:rFonts w:hint="eastAsia" w:ascii="宋体" w:hAnsi="宋体" w:cs="宋体"/>
          <w:b/>
          <w:color w:val="auto"/>
          <w:sz w:val="24"/>
          <w:highlight w:val="none"/>
        </w:rPr>
        <w:t>1.适用范围</w:t>
      </w:r>
    </w:p>
    <w:p w14:paraId="63CFC3DA">
      <w:pPr>
        <w:tabs>
          <w:tab w:val="left" w:pos="7665"/>
        </w:tabs>
        <w:adjustRightInd w:val="0"/>
        <w:snapToGrid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1.1本磋商文件仅适用于本次磋商</w:t>
      </w:r>
      <w:r>
        <w:rPr>
          <w:rFonts w:hint="eastAsia" w:ascii="宋体" w:hAnsi="宋体" w:eastAsia="宋体" w:cs="宋体"/>
          <w:color w:val="auto"/>
          <w:sz w:val="24"/>
          <w:highlight w:val="none"/>
          <w:lang w:val="en-US" w:eastAsia="zh-CN"/>
        </w:rPr>
        <w:t>采购项目</w:t>
      </w:r>
      <w:r>
        <w:rPr>
          <w:rFonts w:hint="eastAsia" w:ascii="宋体" w:hAnsi="宋体" w:eastAsia="宋体" w:cs="宋体"/>
          <w:color w:val="auto"/>
          <w:sz w:val="24"/>
          <w:highlight w:val="none"/>
        </w:rPr>
        <w:t>。</w:t>
      </w:r>
    </w:p>
    <w:p w14:paraId="780867AB">
      <w:pPr>
        <w:tabs>
          <w:tab w:val="left" w:pos="7665"/>
        </w:tabs>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1.2本磋商文件的解释权归采购人所有。</w:t>
      </w:r>
    </w:p>
    <w:p w14:paraId="1EF72AC6">
      <w:pPr>
        <w:adjustRightInd w:val="0"/>
        <w:snapToGrid w:val="0"/>
        <w:spacing w:line="360" w:lineRule="auto"/>
        <w:ind w:firstLine="361" w:firstLineChars="150"/>
        <w:jc w:val="left"/>
        <w:rPr>
          <w:rFonts w:hint="eastAsia" w:ascii="宋体" w:hAnsi="宋体" w:cs="宋体"/>
          <w:color w:val="auto"/>
          <w:sz w:val="24"/>
          <w:highlight w:val="none"/>
        </w:rPr>
      </w:pPr>
      <w:r>
        <w:rPr>
          <w:rFonts w:hint="eastAsia" w:ascii="宋体" w:hAnsi="宋体" w:cs="宋体"/>
          <w:b/>
          <w:color w:val="auto"/>
          <w:sz w:val="24"/>
          <w:highlight w:val="none"/>
        </w:rPr>
        <w:t>2.采购主体</w:t>
      </w:r>
    </w:p>
    <w:p w14:paraId="7DCB725B">
      <w:pPr>
        <w:tabs>
          <w:tab w:val="left" w:pos="7665"/>
        </w:tabs>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2.1本次磋商的采购人是</w:t>
      </w:r>
      <w:r>
        <w:rPr>
          <w:rFonts w:hint="eastAsia" w:ascii="宋体" w:hAnsi="宋体" w:cs="宋体"/>
          <w:color w:val="auto"/>
          <w:sz w:val="24"/>
          <w:highlight w:val="none"/>
          <w:u w:val="single"/>
          <w:lang w:eastAsia="zh-CN"/>
        </w:rPr>
        <w:t>四川信息职业技术学院</w:t>
      </w:r>
      <w:r>
        <w:rPr>
          <w:rFonts w:hint="eastAsia" w:ascii="宋体" w:hAnsi="宋体" w:cs="宋体"/>
          <w:color w:val="auto"/>
          <w:sz w:val="24"/>
          <w:highlight w:val="none"/>
        </w:rPr>
        <w:t>。</w:t>
      </w:r>
    </w:p>
    <w:p w14:paraId="47A05CC6">
      <w:pPr>
        <w:adjustRightInd w:val="0"/>
        <w:snapToGrid w:val="0"/>
        <w:spacing w:line="360" w:lineRule="auto"/>
        <w:ind w:firstLine="361" w:firstLineChars="150"/>
        <w:jc w:val="left"/>
        <w:rPr>
          <w:rFonts w:hint="eastAsia" w:ascii="宋体" w:hAnsi="宋体" w:cs="宋体"/>
          <w:color w:val="auto"/>
          <w:sz w:val="24"/>
          <w:highlight w:val="none"/>
        </w:rPr>
      </w:pPr>
      <w:r>
        <w:rPr>
          <w:rFonts w:hint="eastAsia" w:ascii="宋体" w:hAnsi="宋体" w:cs="宋体"/>
          <w:b/>
          <w:color w:val="auto"/>
          <w:sz w:val="24"/>
          <w:highlight w:val="none"/>
        </w:rPr>
        <w:t>3.合格供应商（实质性要求）</w:t>
      </w:r>
    </w:p>
    <w:p w14:paraId="3D3A4CED">
      <w:pPr>
        <w:tabs>
          <w:tab w:val="left" w:pos="7665"/>
        </w:tabs>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合格的供应商应具备以下条件，否则其响应文件按无效处理。</w:t>
      </w:r>
    </w:p>
    <w:p w14:paraId="1695B170">
      <w:pPr>
        <w:tabs>
          <w:tab w:val="left" w:pos="7665"/>
        </w:tabs>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3.1具备法律法规和本磋商文件规定的资格条件。</w:t>
      </w:r>
    </w:p>
    <w:p w14:paraId="2B956CB1">
      <w:pPr>
        <w:tabs>
          <w:tab w:val="left" w:pos="7665"/>
        </w:tabs>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3.2不属于禁止参加本项目采购活动的供应商。</w:t>
      </w:r>
    </w:p>
    <w:p w14:paraId="387BAF2B">
      <w:pPr>
        <w:tabs>
          <w:tab w:val="left" w:pos="7665"/>
        </w:tabs>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3.3按照规定获取了磋商文件，属于实质性参加政府采购活动的供应商。</w:t>
      </w:r>
    </w:p>
    <w:p w14:paraId="5F9C388F">
      <w:pPr>
        <w:adjustRightInd w:val="0"/>
        <w:snapToGrid w:val="0"/>
        <w:spacing w:line="360" w:lineRule="auto"/>
        <w:ind w:firstLine="361" w:firstLineChars="150"/>
        <w:jc w:val="left"/>
        <w:rPr>
          <w:rFonts w:hint="eastAsia" w:ascii="宋体" w:hAnsi="宋体" w:cs="宋体"/>
          <w:color w:val="auto"/>
          <w:sz w:val="24"/>
          <w:highlight w:val="none"/>
        </w:rPr>
      </w:pPr>
      <w:r>
        <w:rPr>
          <w:rFonts w:hint="eastAsia" w:ascii="宋体" w:hAnsi="宋体" w:cs="宋体"/>
          <w:b/>
          <w:color w:val="auto"/>
          <w:sz w:val="24"/>
          <w:highlight w:val="none"/>
        </w:rPr>
        <w:t>4.磋商费用</w:t>
      </w:r>
    </w:p>
    <w:p w14:paraId="27458534">
      <w:pPr>
        <w:tabs>
          <w:tab w:val="left" w:pos="7665"/>
        </w:tabs>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供应商应自行承担参加磋商活动的全部费用。</w:t>
      </w:r>
    </w:p>
    <w:p w14:paraId="779D8509">
      <w:pPr>
        <w:pStyle w:val="79"/>
        <w:snapToGrid w:val="0"/>
        <w:spacing w:line="360" w:lineRule="auto"/>
        <w:ind w:firstLine="361" w:firstLineChars="150"/>
        <w:jc w:val="left"/>
        <w:rPr>
          <w:rFonts w:hint="eastAsia" w:hAnsi="宋体" w:cs="宋体"/>
          <w:color w:val="auto"/>
          <w:sz w:val="24"/>
          <w:highlight w:val="none"/>
        </w:rPr>
      </w:pPr>
      <w:r>
        <w:rPr>
          <w:rFonts w:hint="eastAsia" w:hAnsi="宋体" w:cs="宋体"/>
          <w:b/>
          <w:color w:val="auto"/>
          <w:sz w:val="24"/>
          <w:highlight w:val="none"/>
        </w:rPr>
        <w:t>5.充分、公平竞争保障措施（实质性要求）</w:t>
      </w:r>
    </w:p>
    <w:p w14:paraId="4B98EE55">
      <w:pPr>
        <w:pStyle w:val="79"/>
        <w:snapToGrid w:val="0"/>
        <w:spacing w:line="360" w:lineRule="auto"/>
        <w:ind w:firstLine="360" w:firstLineChars="150"/>
        <w:jc w:val="left"/>
        <w:rPr>
          <w:rFonts w:hint="eastAsia" w:hAnsi="宋体" w:cs="宋体"/>
          <w:color w:val="auto"/>
          <w:sz w:val="28"/>
          <w:szCs w:val="28"/>
          <w:highlight w:val="none"/>
        </w:rPr>
      </w:pPr>
      <w:r>
        <w:rPr>
          <w:rFonts w:hint="eastAsia" w:hAnsi="宋体" w:cs="宋体"/>
          <w:color w:val="auto"/>
          <w:sz w:val="24"/>
          <w:highlight w:val="none"/>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14:paraId="51460B28">
      <w:pPr>
        <w:pStyle w:val="79"/>
        <w:snapToGrid w:val="0"/>
        <w:spacing w:line="360" w:lineRule="auto"/>
        <w:ind w:firstLine="360" w:firstLineChars="150"/>
        <w:jc w:val="left"/>
        <w:rPr>
          <w:rFonts w:hint="eastAsia" w:hAnsi="宋体" w:cs="宋体"/>
          <w:color w:val="auto"/>
          <w:sz w:val="24"/>
          <w:highlight w:val="none"/>
        </w:rPr>
      </w:pPr>
      <w:r>
        <w:rPr>
          <w:rFonts w:hint="eastAsia" w:hAnsi="宋体" w:cs="宋体"/>
          <w:color w:val="auto"/>
          <w:sz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408EBE45">
      <w:pPr>
        <w:pStyle w:val="79"/>
        <w:snapToGrid w:val="0"/>
        <w:spacing w:line="360" w:lineRule="auto"/>
        <w:ind w:firstLine="360" w:firstLineChars="150"/>
        <w:jc w:val="left"/>
        <w:rPr>
          <w:rFonts w:hint="eastAsia" w:hAnsi="宋体" w:cs="宋体"/>
          <w:color w:val="auto"/>
          <w:sz w:val="24"/>
          <w:highlight w:val="none"/>
        </w:rPr>
      </w:pPr>
      <w:r>
        <w:rPr>
          <w:rFonts w:hint="eastAsia" w:hAnsi="宋体" w:cs="宋体"/>
          <w:color w:val="auto"/>
          <w:sz w:val="24"/>
          <w:highlight w:val="none"/>
        </w:rPr>
        <w:t>5.3前期参与供应商处理为采购项目提供整体设计、规范编制或者项目管理、监理、检测等服务的供应商，不得再参加该采购项目的其他采购活动。供应商为采购人、采购代理机构在确定采购需求、编制磋商文件过程中提供咨询论证，其提供的咨询论证意见成为磋商文件中规定的供应商资格条件、技术服务商务要求、评标因素和标准、政府采购合同等实质性内容条款的，视同为采购项目提供规范编制。</w:t>
      </w:r>
    </w:p>
    <w:p w14:paraId="00E5B0B3">
      <w:pPr>
        <w:pStyle w:val="79"/>
        <w:snapToGrid w:val="0"/>
        <w:spacing w:line="360" w:lineRule="auto"/>
        <w:ind w:firstLine="360" w:firstLineChars="150"/>
        <w:jc w:val="left"/>
        <w:rPr>
          <w:rFonts w:hint="eastAsia" w:hAnsi="宋体" w:cs="宋体"/>
          <w:color w:val="auto"/>
          <w:sz w:val="24"/>
          <w:highlight w:val="none"/>
        </w:rPr>
      </w:pPr>
      <w:r>
        <w:rPr>
          <w:rFonts w:hint="eastAsia" w:hAnsi="宋体" w:cs="宋体"/>
          <w:color w:val="auto"/>
          <w:sz w:val="24"/>
          <w:highlight w:val="none"/>
        </w:rPr>
        <w:t>5.4供应商实际控制人或者中高级管理人员，同时是采购代理机构工作人员，不得参与本项目政府采购活动。</w:t>
      </w:r>
    </w:p>
    <w:p w14:paraId="22233F93">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5.5同一母公司的两家以上的子公司只能组成联合体参加本项目同一合同项下的采购活动，不得以不同供应商身份同时参加本项目同一合同项下的采购活动。</w:t>
      </w:r>
    </w:p>
    <w:p w14:paraId="67C23F28">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5.6供应商与采购代理机构存在关联关系，或者是采购代理机构的母公司或子公司，不得参加本项目政府采购活动。</w:t>
      </w:r>
    </w:p>
    <w:p w14:paraId="72DD885D">
      <w:pPr>
        <w:pStyle w:val="79"/>
        <w:snapToGrid w:val="0"/>
        <w:spacing w:line="360" w:lineRule="auto"/>
        <w:ind w:firstLine="360" w:firstLineChars="150"/>
        <w:jc w:val="left"/>
        <w:rPr>
          <w:rFonts w:hint="eastAsia" w:hAnsi="宋体" w:cs="宋体"/>
          <w:color w:val="auto"/>
          <w:sz w:val="24"/>
          <w:highlight w:val="none"/>
        </w:rPr>
      </w:pPr>
      <w:r>
        <w:rPr>
          <w:rFonts w:hint="eastAsia" w:hAnsi="宋体" w:cs="宋体"/>
          <w:color w:val="auto"/>
          <w:sz w:val="24"/>
          <w:highlight w:val="none"/>
        </w:rPr>
        <w:t>5.7回避。政府采购活动中，采购人员及相关人员与供应商有下列利害关系之一的，应当回避：</w:t>
      </w:r>
    </w:p>
    <w:p w14:paraId="514B27A0">
      <w:pPr>
        <w:pStyle w:val="79"/>
        <w:snapToGrid w:val="0"/>
        <w:spacing w:line="360" w:lineRule="auto"/>
        <w:ind w:firstLine="360" w:firstLineChars="150"/>
        <w:jc w:val="left"/>
        <w:rPr>
          <w:rFonts w:hint="eastAsia" w:hAnsi="宋体" w:cs="宋体"/>
          <w:color w:val="auto"/>
          <w:sz w:val="24"/>
          <w:highlight w:val="none"/>
        </w:rPr>
      </w:pPr>
      <w:r>
        <w:rPr>
          <w:rFonts w:hint="eastAsia" w:hAnsi="宋体" w:cs="宋体"/>
          <w:color w:val="auto"/>
          <w:sz w:val="24"/>
          <w:highlight w:val="none"/>
        </w:rPr>
        <w:t>(1)参加采购活动前3年内与供应商存在劳动关系；</w:t>
      </w:r>
    </w:p>
    <w:p w14:paraId="5E741C02">
      <w:pPr>
        <w:pStyle w:val="79"/>
        <w:snapToGrid w:val="0"/>
        <w:spacing w:line="360" w:lineRule="auto"/>
        <w:ind w:firstLine="360" w:firstLineChars="150"/>
        <w:jc w:val="left"/>
        <w:rPr>
          <w:rFonts w:hint="eastAsia" w:hAnsi="宋体" w:cs="宋体"/>
          <w:color w:val="auto"/>
          <w:sz w:val="24"/>
          <w:highlight w:val="none"/>
        </w:rPr>
      </w:pPr>
      <w:r>
        <w:rPr>
          <w:rFonts w:hint="eastAsia" w:hAnsi="宋体" w:cs="宋体"/>
          <w:color w:val="auto"/>
          <w:sz w:val="24"/>
          <w:highlight w:val="none"/>
        </w:rPr>
        <w:t>(2)参加采购活动前3年内担任供应商的董事、监事；</w:t>
      </w:r>
    </w:p>
    <w:p w14:paraId="4BAE9715">
      <w:pPr>
        <w:pStyle w:val="79"/>
        <w:snapToGrid w:val="0"/>
        <w:spacing w:line="360" w:lineRule="auto"/>
        <w:ind w:firstLine="360" w:firstLineChars="150"/>
        <w:jc w:val="left"/>
        <w:rPr>
          <w:rFonts w:hint="eastAsia" w:hAnsi="宋体" w:cs="宋体"/>
          <w:color w:val="auto"/>
          <w:sz w:val="24"/>
          <w:highlight w:val="none"/>
        </w:rPr>
      </w:pPr>
      <w:r>
        <w:rPr>
          <w:rFonts w:hint="eastAsia" w:hAnsi="宋体" w:cs="宋体"/>
          <w:color w:val="auto"/>
          <w:sz w:val="24"/>
          <w:highlight w:val="none"/>
        </w:rPr>
        <w:t>(3)参加采购活动前3年内是供应商的控股股东或者实际控制人；</w:t>
      </w:r>
    </w:p>
    <w:p w14:paraId="19CFC5AB">
      <w:pPr>
        <w:pStyle w:val="79"/>
        <w:snapToGrid w:val="0"/>
        <w:spacing w:line="360" w:lineRule="auto"/>
        <w:ind w:firstLine="360" w:firstLineChars="150"/>
        <w:jc w:val="left"/>
        <w:rPr>
          <w:rFonts w:hint="eastAsia" w:hAnsi="宋体" w:cs="宋体"/>
          <w:color w:val="auto"/>
          <w:sz w:val="24"/>
          <w:highlight w:val="none"/>
        </w:rPr>
      </w:pPr>
      <w:r>
        <w:rPr>
          <w:rFonts w:hint="eastAsia" w:hAnsi="宋体" w:cs="宋体"/>
          <w:color w:val="auto"/>
          <w:sz w:val="24"/>
          <w:highlight w:val="none"/>
        </w:rPr>
        <w:t>(4)与供应商的法定代表人或者负责人有夫妻、直系血亲、三代以内旁系血亲或者近姻亲关系；</w:t>
      </w:r>
    </w:p>
    <w:p w14:paraId="4AC05EA4">
      <w:pPr>
        <w:pStyle w:val="79"/>
        <w:snapToGrid w:val="0"/>
        <w:spacing w:line="360" w:lineRule="auto"/>
        <w:ind w:firstLine="360" w:firstLineChars="150"/>
        <w:jc w:val="left"/>
        <w:rPr>
          <w:rFonts w:hint="eastAsia" w:hAnsi="宋体" w:cs="宋体"/>
          <w:color w:val="auto"/>
          <w:sz w:val="24"/>
          <w:highlight w:val="none"/>
        </w:rPr>
      </w:pPr>
      <w:r>
        <w:rPr>
          <w:rFonts w:hint="eastAsia" w:hAnsi="宋体" w:cs="宋体"/>
          <w:color w:val="auto"/>
          <w:sz w:val="24"/>
          <w:highlight w:val="none"/>
        </w:rPr>
        <w:t>(5)与供应商有其他可能影响政府采购活动公平、公正进行的关系。</w:t>
      </w:r>
    </w:p>
    <w:p w14:paraId="1527C6F5">
      <w:pPr>
        <w:pStyle w:val="79"/>
        <w:snapToGrid w:val="0"/>
        <w:spacing w:line="360" w:lineRule="auto"/>
        <w:ind w:firstLine="360" w:firstLineChars="150"/>
        <w:jc w:val="left"/>
        <w:rPr>
          <w:rFonts w:hint="eastAsia" w:hAnsi="宋体" w:cs="宋体"/>
          <w:color w:val="auto"/>
          <w:sz w:val="24"/>
          <w:highlight w:val="none"/>
        </w:rPr>
      </w:pPr>
      <w:r>
        <w:rPr>
          <w:rFonts w:hint="eastAsia" w:hAnsi="宋体" w:cs="宋体"/>
          <w:color w:val="auto"/>
          <w:sz w:val="24"/>
          <w:highlight w:val="none"/>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14:paraId="33FAF410">
      <w:pPr>
        <w:pStyle w:val="79"/>
        <w:snapToGrid w:val="0"/>
        <w:spacing w:line="360" w:lineRule="auto"/>
        <w:ind w:firstLine="360" w:firstLineChars="150"/>
        <w:jc w:val="left"/>
        <w:rPr>
          <w:rFonts w:hint="eastAsia" w:hAnsi="宋体" w:cs="宋体"/>
          <w:color w:val="auto"/>
          <w:sz w:val="24"/>
          <w:highlight w:val="none"/>
        </w:rPr>
      </w:pPr>
      <w:r>
        <w:rPr>
          <w:rFonts w:hint="eastAsia" w:hAnsi="宋体" w:cs="宋体"/>
          <w:color w:val="auto"/>
          <w:sz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595A9819">
      <w:pPr>
        <w:pStyle w:val="79"/>
        <w:snapToGrid w:val="0"/>
        <w:spacing w:line="360" w:lineRule="auto"/>
        <w:ind w:firstLine="361" w:firstLineChars="150"/>
        <w:jc w:val="left"/>
        <w:rPr>
          <w:rFonts w:hint="eastAsia" w:hAnsi="宋体" w:cs="宋体"/>
          <w:color w:val="auto"/>
          <w:sz w:val="24"/>
          <w:highlight w:val="none"/>
        </w:rPr>
      </w:pPr>
      <w:r>
        <w:rPr>
          <w:rFonts w:hint="eastAsia" w:hAnsi="宋体" w:cs="宋体"/>
          <w:b/>
          <w:color w:val="auto"/>
          <w:sz w:val="24"/>
          <w:highlight w:val="none"/>
        </w:rPr>
        <w:t>6.联合体竞争性磋商（若涉及，实质性要求）</w:t>
      </w:r>
    </w:p>
    <w:p w14:paraId="432A0F5A">
      <w:pPr>
        <w:pStyle w:val="79"/>
        <w:snapToGrid w:val="0"/>
        <w:spacing w:line="360" w:lineRule="auto"/>
        <w:ind w:firstLine="360" w:firstLineChars="150"/>
        <w:jc w:val="left"/>
        <w:rPr>
          <w:rFonts w:hint="eastAsia" w:hAnsi="宋体" w:cs="宋体"/>
          <w:color w:val="auto"/>
          <w:sz w:val="24"/>
          <w:highlight w:val="none"/>
        </w:rPr>
      </w:pPr>
      <w:r>
        <w:rPr>
          <w:rFonts w:hint="eastAsia" w:hAnsi="宋体" w:cs="宋体"/>
          <w:color w:val="auto"/>
          <w:sz w:val="24"/>
          <w:highlight w:val="none"/>
        </w:rPr>
        <w:t>本项目不接受联合体参加。</w:t>
      </w:r>
    </w:p>
    <w:p w14:paraId="3609BDE1">
      <w:pPr>
        <w:pStyle w:val="79"/>
        <w:snapToGrid w:val="0"/>
        <w:spacing w:line="360" w:lineRule="auto"/>
        <w:ind w:firstLine="361" w:firstLineChars="150"/>
        <w:jc w:val="left"/>
        <w:rPr>
          <w:rFonts w:hint="eastAsia" w:hAnsi="宋体" w:cs="宋体"/>
          <w:color w:val="auto"/>
          <w:sz w:val="24"/>
          <w:highlight w:val="none"/>
        </w:rPr>
      </w:pPr>
      <w:r>
        <w:rPr>
          <w:rFonts w:hint="eastAsia" w:hAnsi="宋体" w:cs="宋体"/>
          <w:b/>
          <w:color w:val="auto"/>
          <w:sz w:val="24"/>
          <w:highlight w:val="none"/>
        </w:rPr>
        <w:t>7.磋商保证金（若涉及，实质性要求）</w:t>
      </w:r>
    </w:p>
    <w:p w14:paraId="73B8E534">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本项目不收取磋商保证金。</w:t>
      </w:r>
    </w:p>
    <w:p w14:paraId="04AEBF96">
      <w:pPr>
        <w:adjustRightInd w:val="0"/>
        <w:snapToGrid w:val="0"/>
        <w:spacing w:line="360" w:lineRule="auto"/>
        <w:ind w:firstLine="361" w:firstLineChars="150"/>
        <w:jc w:val="left"/>
        <w:rPr>
          <w:rFonts w:hint="eastAsia" w:ascii="宋体" w:hAnsi="宋体" w:cs="宋体"/>
          <w:color w:val="auto"/>
          <w:sz w:val="24"/>
          <w:highlight w:val="none"/>
        </w:rPr>
      </w:pPr>
      <w:r>
        <w:rPr>
          <w:rFonts w:hint="eastAsia" w:ascii="宋体" w:hAnsi="宋体" w:cs="宋体"/>
          <w:b/>
          <w:color w:val="auto"/>
          <w:sz w:val="24"/>
          <w:highlight w:val="none"/>
        </w:rPr>
        <w:t>8.响应文件有效期（实质性要求）</w:t>
      </w:r>
    </w:p>
    <w:p w14:paraId="2A02EE07">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本项目响应文件有效期为递交磋商响应文件截止之日起</w:t>
      </w:r>
      <w:r>
        <w:rPr>
          <w:rFonts w:hint="eastAsia" w:ascii="宋体" w:hAnsi="宋体" w:cs="宋体"/>
          <w:color w:val="auto"/>
          <w:sz w:val="24"/>
          <w:highlight w:val="none"/>
          <w:u w:val="single"/>
        </w:rPr>
        <w:t>90</w:t>
      </w:r>
      <w:r>
        <w:rPr>
          <w:rFonts w:hint="eastAsia" w:ascii="宋体" w:hAnsi="宋体" w:cs="宋体"/>
          <w:color w:val="auto"/>
          <w:sz w:val="24"/>
          <w:highlight w:val="none"/>
        </w:rPr>
        <w:t>天。供应商响应文件中必须载明响应文件有效期，响应文件中载明的响应文件有效期可以长于磋商文件规定的期限，但不得短于磋商文件规定的期限。否则，其响应文件将作为无效处理。</w:t>
      </w:r>
    </w:p>
    <w:p w14:paraId="27C2EB9A">
      <w:pPr>
        <w:pStyle w:val="13"/>
        <w:adjustRightInd w:val="0"/>
        <w:snapToGrid w:val="0"/>
        <w:spacing w:line="360" w:lineRule="auto"/>
        <w:ind w:firstLine="361" w:firstLineChars="150"/>
        <w:jc w:val="left"/>
        <w:rPr>
          <w:rFonts w:hint="eastAsia" w:ascii="宋体" w:hAnsi="宋体" w:cs="宋体"/>
          <w:bCs/>
          <w:color w:val="auto"/>
          <w:sz w:val="24"/>
          <w:szCs w:val="24"/>
          <w:highlight w:val="none"/>
        </w:rPr>
      </w:pPr>
      <w:r>
        <w:rPr>
          <w:rFonts w:hint="eastAsia" w:ascii="宋体" w:hAnsi="宋体" w:cs="宋体"/>
          <w:b/>
          <w:color w:val="auto"/>
          <w:sz w:val="24"/>
          <w:highlight w:val="none"/>
        </w:rPr>
        <w:t>9.</w:t>
      </w:r>
      <w:r>
        <w:rPr>
          <w:rFonts w:hint="eastAsia" w:ascii="宋体" w:hAnsi="宋体" w:cs="宋体"/>
          <w:b/>
          <w:bCs/>
          <w:color w:val="auto"/>
          <w:sz w:val="24"/>
          <w:szCs w:val="24"/>
          <w:highlight w:val="none"/>
        </w:rPr>
        <w:t>知识产权（实质性要求）</w:t>
      </w:r>
    </w:p>
    <w:p w14:paraId="194D2023">
      <w:pPr>
        <w:pStyle w:val="13"/>
        <w:adjustRightInd w:val="0"/>
        <w:snapToGrid w:val="0"/>
        <w:spacing w:line="360" w:lineRule="auto"/>
        <w:ind w:firstLine="360" w:firstLineChars="1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9.1</w:t>
      </w:r>
      <w:r>
        <w:rPr>
          <w:rFonts w:hint="eastAsia" w:ascii="宋体" w:hAnsi="宋体" w:cs="宋体"/>
          <w:color w:val="auto"/>
          <w:sz w:val="24"/>
          <w:highlight w:val="none"/>
        </w:rPr>
        <w:t>供应商</w:t>
      </w:r>
      <w:r>
        <w:rPr>
          <w:rFonts w:hint="eastAsia" w:ascii="宋体" w:hAnsi="宋体" w:cs="宋体"/>
          <w:color w:val="auto"/>
          <w:sz w:val="24"/>
          <w:szCs w:val="24"/>
          <w:highlight w:val="none"/>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宋体" w:hAnsi="宋体" w:cs="宋体"/>
          <w:color w:val="auto"/>
          <w:sz w:val="24"/>
          <w:highlight w:val="none"/>
        </w:rPr>
        <w:t>供应商</w:t>
      </w:r>
      <w:r>
        <w:rPr>
          <w:rFonts w:hint="eastAsia" w:ascii="宋体" w:hAnsi="宋体" w:cs="宋体"/>
          <w:color w:val="auto"/>
          <w:sz w:val="24"/>
          <w:szCs w:val="24"/>
          <w:highlight w:val="none"/>
        </w:rPr>
        <w:t>承担所有相关责任。</w:t>
      </w:r>
    </w:p>
    <w:p w14:paraId="4F8A9773">
      <w:pPr>
        <w:pStyle w:val="13"/>
        <w:adjustRightInd w:val="0"/>
        <w:snapToGrid w:val="0"/>
        <w:spacing w:line="360" w:lineRule="auto"/>
        <w:ind w:firstLine="360" w:firstLineChars="1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9.2除非磋商文件特别规定，采购人享有本项目实施过程中产生的知识成果及知识产权。</w:t>
      </w:r>
    </w:p>
    <w:p w14:paraId="6E1A14F9">
      <w:pPr>
        <w:adjustRightInd w:val="0"/>
        <w:snapToGrid w:val="0"/>
        <w:spacing w:line="360" w:lineRule="auto"/>
        <w:ind w:firstLine="360" w:firstLineChars="150"/>
        <w:jc w:val="left"/>
        <w:rPr>
          <w:rFonts w:hint="eastAsia" w:ascii="宋体" w:hAnsi="宋体" w:cs="宋体"/>
          <w:color w:val="auto"/>
          <w:sz w:val="32"/>
          <w:szCs w:val="32"/>
          <w:highlight w:val="none"/>
        </w:rPr>
      </w:pPr>
      <w:r>
        <w:rPr>
          <w:rFonts w:hint="eastAsia" w:ascii="宋体" w:hAnsi="宋体" w:cs="宋体"/>
          <w:color w:val="auto"/>
          <w:sz w:val="24"/>
          <w:highlight w:val="none"/>
        </w:rPr>
        <w:t>9.3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14:paraId="3DA0D903">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9.4如采用供应商所不拥有的知识产权，则在报价中必须包括合法获取该知识产权的相关费用。</w:t>
      </w:r>
    </w:p>
    <w:p w14:paraId="741EA350">
      <w:pPr>
        <w:pStyle w:val="11"/>
        <w:rPr>
          <w:rFonts w:hint="eastAsia"/>
          <w:color w:val="auto"/>
          <w:highlight w:val="none"/>
        </w:rPr>
      </w:pPr>
    </w:p>
    <w:p w14:paraId="17DE51CF">
      <w:pPr>
        <w:adjustRightInd w:val="0"/>
        <w:snapToGrid w:val="0"/>
        <w:spacing w:line="360" w:lineRule="auto"/>
        <w:ind w:firstLine="361" w:firstLineChars="150"/>
        <w:jc w:val="center"/>
        <w:rPr>
          <w:rFonts w:hint="eastAsia" w:ascii="宋体" w:hAnsi="宋体" w:cs="宋体"/>
          <w:b/>
          <w:color w:val="auto"/>
          <w:sz w:val="24"/>
          <w:highlight w:val="none"/>
        </w:rPr>
      </w:pPr>
      <w:bookmarkStart w:id="25" w:name="_Toc12068"/>
      <w:bookmarkStart w:id="26" w:name="_Toc19124"/>
      <w:r>
        <w:rPr>
          <w:rFonts w:hint="eastAsia" w:ascii="宋体" w:hAnsi="宋体" w:cs="宋体"/>
          <w:b/>
          <w:color w:val="auto"/>
          <w:sz w:val="24"/>
          <w:highlight w:val="none"/>
        </w:rPr>
        <w:t>三、磋商文件</w:t>
      </w:r>
      <w:bookmarkEnd w:id="25"/>
      <w:bookmarkEnd w:id="26"/>
    </w:p>
    <w:p w14:paraId="745B7653">
      <w:pPr>
        <w:adjustRightInd w:val="0"/>
        <w:snapToGrid w:val="0"/>
        <w:spacing w:line="360" w:lineRule="auto"/>
        <w:ind w:firstLine="361" w:firstLineChars="150"/>
        <w:jc w:val="left"/>
        <w:rPr>
          <w:rFonts w:hint="eastAsia" w:ascii="宋体" w:hAnsi="宋体" w:cs="宋体"/>
          <w:color w:val="auto"/>
          <w:sz w:val="24"/>
          <w:highlight w:val="none"/>
        </w:rPr>
      </w:pPr>
      <w:r>
        <w:rPr>
          <w:rFonts w:hint="eastAsia" w:ascii="宋体" w:hAnsi="宋体" w:cs="宋体"/>
          <w:b/>
          <w:color w:val="auto"/>
          <w:sz w:val="24"/>
          <w:highlight w:val="none"/>
        </w:rPr>
        <w:t>10．磋商文件的构成（实质性要求）</w:t>
      </w:r>
    </w:p>
    <w:p w14:paraId="61B3A399">
      <w:pPr>
        <w:tabs>
          <w:tab w:val="left" w:pos="720"/>
        </w:tabs>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10</w:t>
      </w:r>
      <w:r>
        <w:rPr>
          <w:rFonts w:hint="eastAsia" w:ascii="宋体" w:hAnsi="宋体" w:cs="宋体"/>
          <w:b/>
          <w:bCs/>
          <w:color w:val="auto"/>
          <w:sz w:val="24"/>
          <w:highlight w:val="none"/>
        </w:rPr>
        <w:t>.</w:t>
      </w:r>
      <w:r>
        <w:rPr>
          <w:rFonts w:hint="eastAsia" w:ascii="宋体" w:hAnsi="宋体" w:cs="宋体"/>
          <w:color w:val="auto"/>
          <w:sz w:val="24"/>
          <w:highlight w:val="none"/>
        </w:rPr>
        <w:t>1磋商文件是供应商准备响应文件和参加磋商的依据，同时也是磋商的重要依据。磋商文件用以阐明磋商项目所需的资质、技术、服务及报价等要求、磋商程序、有关规定和注意事项以及合同主要条款等。</w:t>
      </w:r>
    </w:p>
    <w:p w14:paraId="2F7188F3">
      <w:pPr>
        <w:tabs>
          <w:tab w:val="left" w:pos="7665"/>
        </w:tabs>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10</w:t>
      </w:r>
      <w:r>
        <w:rPr>
          <w:rFonts w:hint="eastAsia" w:ascii="宋体" w:hAnsi="宋体" w:cs="宋体"/>
          <w:b/>
          <w:bCs/>
          <w:color w:val="auto"/>
          <w:sz w:val="24"/>
          <w:highlight w:val="none"/>
        </w:rPr>
        <w:t>.</w:t>
      </w:r>
      <w:r>
        <w:rPr>
          <w:rFonts w:hint="eastAsia" w:ascii="宋体" w:hAnsi="宋体" w:cs="宋体"/>
          <w:color w:val="auto"/>
          <w:sz w:val="24"/>
          <w:highlight w:val="none"/>
        </w:rPr>
        <w:t>2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14:paraId="34A2ABEB">
      <w:pPr>
        <w:adjustRightInd w:val="0"/>
        <w:snapToGrid w:val="0"/>
        <w:spacing w:line="360" w:lineRule="auto"/>
        <w:ind w:firstLine="361" w:firstLineChars="150"/>
        <w:jc w:val="left"/>
        <w:rPr>
          <w:rFonts w:hint="eastAsia" w:ascii="宋体" w:hAnsi="宋体" w:cs="宋体"/>
          <w:color w:val="auto"/>
          <w:sz w:val="24"/>
          <w:highlight w:val="none"/>
        </w:rPr>
      </w:pPr>
      <w:r>
        <w:rPr>
          <w:rFonts w:hint="eastAsia" w:ascii="宋体" w:hAnsi="宋体" w:cs="宋体"/>
          <w:b/>
          <w:color w:val="auto"/>
          <w:sz w:val="24"/>
          <w:highlight w:val="none"/>
        </w:rPr>
        <w:t>11.磋商文件的澄清和修改</w:t>
      </w:r>
    </w:p>
    <w:p w14:paraId="1602AE04">
      <w:pPr>
        <w:keepNext w:val="0"/>
        <w:keepLines w:val="0"/>
        <w:pageBreakBefore w:val="0"/>
        <w:widowControl w:val="0"/>
        <w:tabs>
          <w:tab w:val="left" w:pos="720"/>
        </w:tabs>
        <w:kinsoku/>
        <w:wordWrap/>
        <w:overflowPunct/>
        <w:topLinePunct w:val="0"/>
        <w:autoSpaceDE/>
        <w:autoSpaceDN/>
        <w:bidi w:val="0"/>
        <w:spacing w:line="360" w:lineRule="auto"/>
        <w:ind w:firstLine="360" w:firstLineChars="15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11.1在递交响应文件截止时间前，采购人、采购代理机构可以对磋商文件进行澄清或者修改。</w:t>
      </w:r>
    </w:p>
    <w:p w14:paraId="0845B093">
      <w:pPr>
        <w:keepNext w:val="0"/>
        <w:keepLines w:val="0"/>
        <w:pageBreakBefore w:val="0"/>
        <w:widowControl w:val="0"/>
        <w:tabs>
          <w:tab w:val="left" w:pos="720"/>
        </w:tabs>
        <w:kinsoku/>
        <w:wordWrap/>
        <w:overflowPunct/>
        <w:topLinePunct w:val="0"/>
        <w:autoSpaceDE/>
        <w:autoSpaceDN/>
        <w:bidi w:val="0"/>
        <w:spacing w:line="360" w:lineRule="auto"/>
        <w:ind w:firstLine="360" w:firstLineChars="150"/>
        <w:jc w:val="left"/>
        <w:textAlignment w:val="auto"/>
        <w:rPr>
          <w:rFonts w:hint="eastAsia" w:ascii="宋体" w:hAnsi="宋体" w:cs="宋体"/>
          <w:color w:val="auto"/>
          <w:sz w:val="24"/>
          <w:highlight w:val="none"/>
        </w:rPr>
      </w:pPr>
      <w:r>
        <w:rPr>
          <w:rFonts w:hint="eastAsia" w:ascii="宋体" w:hAnsi="宋体" w:cs="宋体"/>
          <w:b w:val="0"/>
          <w:bCs w:val="0"/>
          <w:color w:val="auto"/>
          <w:sz w:val="24"/>
          <w:highlight w:val="none"/>
        </w:rPr>
        <w:t>11.2</w:t>
      </w:r>
      <w:r>
        <w:rPr>
          <w:rFonts w:hint="eastAsia" w:ascii="宋体" w:hAnsi="宋体" w:cs="宋体"/>
          <w:b/>
          <w:bCs/>
          <w:color w:val="auto"/>
          <w:sz w:val="24"/>
          <w:highlight w:val="none"/>
        </w:rPr>
        <w:t>本项目磋商文件及后续所有澄清、修改、更正、补充通知均在</w:t>
      </w:r>
      <w:r>
        <w:rPr>
          <w:rFonts w:hint="eastAsia" w:ascii="宋体" w:hAnsi="宋体" w:cs="宋体"/>
          <w:b/>
          <w:bCs/>
          <w:color w:val="auto"/>
          <w:sz w:val="24"/>
          <w:highlight w:val="none"/>
          <w:lang w:val="en-US" w:eastAsia="zh-CN"/>
        </w:rPr>
        <w:t>四川信息职业技术学院</w:t>
      </w:r>
      <w:r>
        <w:rPr>
          <w:rFonts w:hint="eastAsia" w:ascii="宋体" w:hAnsi="宋体" w:cs="宋体"/>
          <w:b/>
          <w:bCs/>
          <w:color w:val="auto"/>
          <w:sz w:val="24"/>
          <w:highlight w:val="none"/>
        </w:rPr>
        <w:t>官网</w:t>
      </w:r>
      <w:r>
        <w:rPr>
          <w:rFonts w:hint="eastAsia" w:ascii="宋体" w:hAnsi="宋体" w:cs="宋体"/>
          <w:b/>
          <w:bCs/>
          <w:color w:val="auto"/>
          <w:sz w:val="24"/>
          <w:highlight w:val="none"/>
          <w:lang w:val="en-US" w:eastAsia="zh-CN"/>
        </w:rPr>
        <w:t>—通知公告栏</w:t>
      </w:r>
      <w:r>
        <w:rPr>
          <w:rFonts w:hint="eastAsia" w:ascii="宋体" w:hAnsi="宋体" w:cs="宋体"/>
          <w:b/>
          <w:bCs/>
          <w:color w:val="auto"/>
          <w:sz w:val="24"/>
          <w:highlight w:val="none"/>
        </w:rPr>
        <w:t>统一发布，采购人不再向供应商逐</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发送通知。供应商应自行主动关注网站发布的最新项目信息，因供应商未及时查阅导致的一切后果由供应商自行承担。</w:t>
      </w:r>
      <w:r>
        <w:rPr>
          <w:rFonts w:hint="eastAsia" w:ascii="宋体" w:hAnsi="宋体" w:cs="宋体"/>
          <w:b w:val="0"/>
          <w:bCs w:val="0"/>
          <w:color w:val="auto"/>
          <w:sz w:val="24"/>
          <w:highlight w:val="none"/>
        </w:rPr>
        <w:t>该</w:t>
      </w:r>
      <w:r>
        <w:rPr>
          <w:rFonts w:hint="eastAsia" w:ascii="宋体" w:hAnsi="宋体" w:cs="宋体"/>
          <w:color w:val="auto"/>
          <w:sz w:val="24"/>
          <w:highlight w:val="none"/>
        </w:rPr>
        <w:t>澄清或者修改的内容为磋商文件的组成部分，澄清或者修改的内容可能影响响应文件编制的，采购人发布公告并书面通知供应商的时间，应当在提交首次响应文件截止之日起起</w:t>
      </w:r>
      <w:r>
        <w:rPr>
          <w:rFonts w:hint="eastAsia" w:ascii="宋体" w:hAnsi="宋体" w:cs="宋体"/>
          <w:color w:val="auto"/>
          <w:sz w:val="24"/>
          <w:highlight w:val="none"/>
          <w:lang w:val="en-US" w:eastAsia="zh-CN"/>
        </w:rPr>
        <w:t>5个工作</w:t>
      </w:r>
      <w:r>
        <w:rPr>
          <w:rFonts w:hint="eastAsia" w:ascii="宋体" w:hAnsi="宋体" w:cs="宋体"/>
          <w:color w:val="auto"/>
          <w:sz w:val="24"/>
          <w:highlight w:val="none"/>
        </w:rPr>
        <w:t>日前；不足上述时间的，应当顺延递交响应文件的截止时间。</w:t>
      </w:r>
    </w:p>
    <w:p w14:paraId="00FB30B2">
      <w:pPr>
        <w:keepNext w:val="0"/>
        <w:keepLines w:val="0"/>
        <w:pageBreakBefore w:val="0"/>
        <w:widowControl w:val="0"/>
        <w:tabs>
          <w:tab w:val="left" w:pos="7665"/>
        </w:tabs>
        <w:kinsoku/>
        <w:wordWrap/>
        <w:overflowPunct/>
        <w:topLinePunct w:val="0"/>
        <w:autoSpaceDE/>
        <w:autoSpaceDN/>
        <w:bidi w:val="0"/>
        <w:adjustRightInd w:val="0"/>
        <w:snapToGrid w:val="0"/>
        <w:spacing w:line="360" w:lineRule="auto"/>
        <w:ind w:firstLine="360" w:firstLineChars="15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11.3供应商认为采购人需要对磋商文件进行澄清或者修改的，可以以书面形式向采购人提出申请，由采购人决定是否采纳供应商的申请事项。若采纳，采购</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将视情况采用适当方式予以澄清或以书面形式予以答复。</w:t>
      </w:r>
    </w:p>
    <w:p w14:paraId="061117B0">
      <w:pPr>
        <w:tabs>
          <w:tab w:val="left" w:pos="7665"/>
        </w:tabs>
        <w:adjustRightInd w:val="0"/>
        <w:snapToGrid w:val="0"/>
        <w:spacing w:line="360" w:lineRule="auto"/>
        <w:ind w:firstLine="361" w:firstLineChars="150"/>
        <w:jc w:val="left"/>
        <w:rPr>
          <w:rFonts w:hint="eastAsia" w:ascii="宋体" w:hAnsi="宋体" w:cs="宋体"/>
          <w:b/>
          <w:bCs/>
          <w:color w:val="auto"/>
          <w:sz w:val="24"/>
          <w:highlight w:val="none"/>
        </w:rPr>
      </w:pPr>
      <w:r>
        <w:rPr>
          <w:rFonts w:hint="eastAsia" w:ascii="宋体" w:hAnsi="宋体" w:cs="宋体"/>
          <w:b/>
          <w:bCs/>
          <w:color w:val="auto"/>
          <w:sz w:val="24"/>
          <w:highlight w:val="none"/>
        </w:rPr>
        <w:t>12.答疑会和现场考察</w:t>
      </w:r>
    </w:p>
    <w:p w14:paraId="5E4E70AB">
      <w:pPr>
        <w:tabs>
          <w:tab w:val="left" w:pos="7665"/>
        </w:tabs>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12.1根据采购项目和具体情况，采购人认为有必要，可以在磋商文件提供期限截止后响应文件提交截止前，组织已获取磋商文件的潜在供应商现场考察或者召开答疑会。</w:t>
      </w:r>
    </w:p>
    <w:p w14:paraId="18649394">
      <w:pPr>
        <w:tabs>
          <w:tab w:val="left" w:pos="7665"/>
        </w:tabs>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12.2采购人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06BC4693">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12.3供应商考察现场或者参加答疑会所发生的一切费用由供应商自己承担。</w:t>
      </w:r>
    </w:p>
    <w:p w14:paraId="78FE8CEE">
      <w:pPr>
        <w:pStyle w:val="11"/>
        <w:rPr>
          <w:rFonts w:hint="eastAsia"/>
          <w:color w:val="auto"/>
          <w:highlight w:val="none"/>
        </w:rPr>
      </w:pPr>
    </w:p>
    <w:p w14:paraId="15EA90DD">
      <w:pPr>
        <w:pStyle w:val="12"/>
        <w:rPr>
          <w:rFonts w:hint="eastAsia"/>
          <w:color w:val="auto"/>
          <w:highlight w:val="none"/>
        </w:rPr>
      </w:pPr>
    </w:p>
    <w:p w14:paraId="78103F88">
      <w:pPr>
        <w:pStyle w:val="12"/>
        <w:rPr>
          <w:rFonts w:hint="eastAsia"/>
          <w:color w:val="auto"/>
          <w:highlight w:val="none"/>
        </w:rPr>
      </w:pPr>
    </w:p>
    <w:p w14:paraId="6E8DE6F6">
      <w:pPr>
        <w:adjustRightInd w:val="0"/>
        <w:snapToGrid w:val="0"/>
        <w:spacing w:line="360" w:lineRule="auto"/>
        <w:ind w:firstLine="361" w:firstLineChars="150"/>
        <w:jc w:val="center"/>
        <w:rPr>
          <w:rFonts w:hint="eastAsia" w:ascii="宋体" w:hAnsi="宋体" w:cs="宋体"/>
          <w:b/>
          <w:color w:val="auto"/>
          <w:sz w:val="24"/>
          <w:highlight w:val="none"/>
        </w:rPr>
      </w:pPr>
      <w:bookmarkStart w:id="27" w:name="_Toc31091"/>
      <w:bookmarkStart w:id="28" w:name="_Toc9323"/>
      <w:r>
        <w:rPr>
          <w:rFonts w:hint="eastAsia" w:ascii="宋体" w:hAnsi="宋体" w:cs="宋体"/>
          <w:b/>
          <w:color w:val="auto"/>
          <w:sz w:val="24"/>
          <w:highlight w:val="none"/>
        </w:rPr>
        <w:t>四、响应文件</w:t>
      </w:r>
      <w:bookmarkEnd w:id="27"/>
      <w:bookmarkEnd w:id="28"/>
    </w:p>
    <w:p w14:paraId="5527279D">
      <w:pPr>
        <w:adjustRightInd w:val="0"/>
        <w:snapToGrid w:val="0"/>
        <w:spacing w:line="360" w:lineRule="auto"/>
        <w:ind w:firstLine="361" w:firstLineChars="150"/>
        <w:jc w:val="left"/>
        <w:rPr>
          <w:rFonts w:hint="eastAsia" w:ascii="宋体" w:hAnsi="宋体" w:cs="宋体"/>
          <w:color w:val="auto"/>
          <w:sz w:val="24"/>
          <w:highlight w:val="none"/>
        </w:rPr>
      </w:pPr>
      <w:bookmarkStart w:id="29" w:name="_Toc183582228"/>
      <w:bookmarkStart w:id="30" w:name="_Toc217446055"/>
      <w:bookmarkStart w:id="31" w:name="_Toc183682365"/>
      <w:r>
        <w:rPr>
          <w:rFonts w:hint="eastAsia" w:ascii="宋体" w:hAnsi="宋体" w:cs="宋体"/>
          <w:b/>
          <w:color w:val="auto"/>
          <w:sz w:val="24"/>
          <w:highlight w:val="none"/>
        </w:rPr>
        <w:t>13.响应文件的组成（实质性要求）</w:t>
      </w:r>
    </w:p>
    <w:p w14:paraId="28233B32">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供应商应按照磋商文件的规定和要求编制响应文件。</w:t>
      </w:r>
    </w:p>
    <w:p w14:paraId="6EECE50B">
      <w:pPr>
        <w:adjustRightInd w:val="0"/>
        <w:snapToGrid w:val="0"/>
        <w:spacing w:line="360" w:lineRule="auto"/>
        <w:ind w:firstLine="361" w:firstLineChars="150"/>
        <w:jc w:val="left"/>
        <w:rPr>
          <w:rFonts w:hint="eastAsia" w:ascii="宋体" w:hAnsi="宋体" w:cs="宋体"/>
          <w:color w:val="auto"/>
          <w:sz w:val="24"/>
          <w:highlight w:val="none"/>
        </w:rPr>
      </w:pPr>
      <w:r>
        <w:rPr>
          <w:rFonts w:hint="eastAsia" w:ascii="宋体" w:hAnsi="宋体" w:cs="宋体"/>
          <w:b/>
          <w:color w:val="auto"/>
          <w:sz w:val="24"/>
          <w:highlight w:val="none"/>
        </w:rPr>
        <w:t>14.响应文件的语言（实质性要求）</w:t>
      </w:r>
    </w:p>
    <w:p w14:paraId="48434198">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14.1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30170CB8">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14.2翻译的中文资料与外文资料如果出现差异和矛盾，以中文为准。但不能故意错误翻译，否则，供应商的响应文件将作为无效处理。</w:t>
      </w:r>
    </w:p>
    <w:p w14:paraId="1543CD44">
      <w:pPr>
        <w:adjustRightInd w:val="0"/>
        <w:snapToGrid w:val="0"/>
        <w:spacing w:line="360" w:lineRule="auto"/>
        <w:ind w:firstLine="361" w:firstLineChars="150"/>
        <w:jc w:val="left"/>
        <w:rPr>
          <w:rFonts w:hint="eastAsia" w:ascii="宋体" w:hAnsi="宋体" w:cs="宋体"/>
          <w:color w:val="auto"/>
          <w:sz w:val="24"/>
          <w:highlight w:val="none"/>
        </w:rPr>
      </w:pPr>
      <w:r>
        <w:rPr>
          <w:rFonts w:hint="eastAsia" w:ascii="宋体" w:hAnsi="宋体" w:cs="宋体"/>
          <w:b/>
          <w:color w:val="auto"/>
          <w:sz w:val="24"/>
          <w:highlight w:val="none"/>
        </w:rPr>
        <w:t>15．计量单位（实质性要求）</w:t>
      </w:r>
    </w:p>
    <w:p w14:paraId="16317FFA">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除磋商文件中另有规定外，本次采购项目所有合同项下的报价均采用国家法定的计量单位。</w:t>
      </w:r>
    </w:p>
    <w:p w14:paraId="297B752F">
      <w:pPr>
        <w:adjustRightInd w:val="0"/>
        <w:snapToGrid w:val="0"/>
        <w:spacing w:line="360" w:lineRule="auto"/>
        <w:ind w:firstLine="361" w:firstLineChars="150"/>
        <w:jc w:val="left"/>
        <w:rPr>
          <w:rFonts w:hint="eastAsia" w:ascii="宋体" w:hAnsi="宋体" w:cs="宋体"/>
          <w:bCs/>
          <w:color w:val="auto"/>
          <w:sz w:val="24"/>
          <w:highlight w:val="none"/>
        </w:rPr>
      </w:pPr>
      <w:r>
        <w:rPr>
          <w:rFonts w:hint="eastAsia" w:ascii="宋体" w:hAnsi="宋体" w:cs="宋体"/>
          <w:b/>
          <w:bCs/>
          <w:color w:val="auto"/>
          <w:sz w:val="24"/>
          <w:highlight w:val="none"/>
        </w:rPr>
        <w:t>16.</w:t>
      </w:r>
      <w:r>
        <w:rPr>
          <w:rFonts w:hint="eastAsia" w:ascii="宋体" w:hAnsi="宋体" w:cs="宋体"/>
          <w:b/>
          <w:color w:val="auto"/>
          <w:sz w:val="24"/>
          <w:highlight w:val="none"/>
        </w:rPr>
        <w:t>报价</w:t>
      </w:r>
      <w:r>
        <w:rPr>
          <w:rFonts w:hint="eastAsia" w:ascii="宋体" w:hAnsi="宋体" w:cs="宋体"/>
          <w:b/>
          <w:bCs/>
          <w:color w:val="auto"/>
          <w:sz w:val="24"/>
          <w:highlight w:val="none"/>
        </w:rPr>
        <w:t>货币（实质性要求）</w:t>
      </w:r>
    </w:p>
    <w:p w14:paraId="79896F75">
      <w:pPr>
        <w:adjustRightInd w:val="0"/>
        <w:snapToGrid w:val="0"/>
        <w:spacing w:line="360" w:lineRule="auto"/>
        <w:ind w:firstLine="360" w:firstLineChars="150"/>
        <w:jc w:val="left"/>
        <w:rPr>
          <w:rFonts w:hint="eastAsia" w:ascii="宋体" w:hAnsi="宋体" w:cs="宋体"/>
          <w:bCs/>
          <w:color w:val="auto"/>
          <w:sz w:val="24"/>
          <w:highlight w:val="none"/>
        </w:rPr>
      </w:pPr>
      <w:r>
        <w:rPr>
          <w:rFonts w:hint="eastAsia" w:ascii="宋体" w:hAnsi="宋体" w:cs="宋体"/>
          <w:bCs/>
          <w:color w:val="auto"/>
          <w:sz w:val="24"/>
          <w:highlight w:val="none"/>
        </w:rPr>
        <w:t>本次磋商项目的</w:t>
      </w:r>
      <w:r>
        <w:rPr>
          <w:rFonts w:hint="eastAsia" w:ascii="宋体" w:hAnsi="宋体" w:cs="宋体"/>
          <w:color w:val="auto"/>
          <w:sz w:val="24"/>
          <w:highlight w:val="none"/>
        </w:rPr>
        <w:t>报价货币为</w:t>
      </w:r>
      <w:r>
        <w:rPr>
          <w:rFonts w:hint="eastAsia" w:ascii="宋体" w:hAnsi="宋体" w:cs="宋体"/>
          <w:bCs/>
          <w:color w:val="auto"/>
          <w:sz w:val="24"/>
          <w:highlight w:val="none"/>
        </w:rPr>
        <w:t>人民币，报价以磋商文件规定为准。</w:t>
      </w:r>
    </w:p>
    <w:p w14:paraId="29097AF6">
      <w:pPr>
        <w:adjustRightInd w:val="0"/>
        <w:snapToGrid w:val="0"/>
        <w:spacing w:line="360" w:lineRule="auto"/>
        <w:ind w:firstLine="361" w:firstLineChars="150"/>
        <w:jc w:val="left"/>
        <w:rPr>
          <w:rFonts w:hint="eastAsia" w:ascii="宋体" w:hAnsi="宋体" w:cs="宋体"/>
          <w:bCs/>
          <w:color w:val="auto"/>
          <w:sz w:val="24"/>
          <w:highlight w:val="none"/>
        </w:rPr>
      </w:pPr>
      <w:r>
        <w:rPr>
          <w:rFonts w:hint="eastAsia" w:ascii="宋体" w:hAnsi="宋体" w:cs="宋体"/>
          <w:b/>
          <w:bCs/>
          <w:color w:val="auto"/>
          <w:sz w:val="24"/>
          <w:highlight w:val="none"/>
        </w:rPr>
        <w:t>17.响应文件格式</w:t>
      </w:r>
    </w:p>
    <w:p w14:paraId="4D69FB06">
      <w:pPr>
        <w:adjustRightInd w:val="0"/>
        <w:snapToGrid w:val="0"/>
        <w:spacing w:line="360" w:lineRule="auto"/>
        <w:ind w:firstLine="360" w:firstLineChars="150"/>
        <w:jc w:val="left"/>
        <w:rPr>
          <w:rFonts w:hint="eastAsia" w:ascii="宋体" w:hAnsi="宋体" w:cs="宋体"/>
          <w:bCs/>
          <w:color w:val="auto"/>
          <w:sz w:val="24"/>
          <w:highlight w:val="none"/>
        </w:rPr>
      </w:pPr>
      <w:r>
        <w:rPr>
          <w:rFonts w:hint="eastAsia" w:ascii="宋体" w:hAnsi="宋体" w:cs="宋体"/>
          <w:bCs/>
          <w:color w:val="auto"/>
          <w:sz w:val="24"/>
          <w:highlight w:val="none"/>
        </w:rPr>
        <w:t>17.1供应商应执行磋商文件第八章的规定要求。</w:t>
      </w:r>
    </w:p>
    <w:p w14:paraId="472AA5E0">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17.2对于没有格式要求的磋商文件由供应商自行编写。</w:t>
      </w:r>
    </w:p>
    <w:p w14:paraId="4C16D010">
      <w:pPr>
        <w:topLinePunct/>
        <w:adjustRightInd w:val="0"/>
        <w:snapToGrid w:val="0"/>
        <w:spacing w:line="360" w:lineRule="auto"/>
        <w:ind w:firstLine="361" w:firstLineChars="150"/>
        <w:jc w:val="left"/>
        <w:rPr>
          <w:rFonts w:hint="eastAsia" w:ascii="宋体" w:hAnsi="宋体" w:cs="宋体"/>
          <w:color w:val="auto"/>
          <w:kern w:val="0"/>
          <w:sz w:val="24"/>
          <w:szCs w:val="21"/>
          <w:highlight w:val="none"/>
        </w:rPr>
      </w:pPr>
      <w:r>
        <w:rPr>
          <w:rFonts w:hint="eastAsia" w:ascii="宋体" w:hAnsi="宋体" w:cs="宋体"/>
          <w:b/>
          <w:color w:val="auto"/>
          <w:sz w:val="24"/>
          <w:highlight w:val="none"/>
        </w:rPr>
        <w:t>18.响应文件的印制和签署</w:t>
      </w:r>
    </w:p>
    <w:p w14:paraId="50B2173F">
      <w:pPr>
        <w:topLinePunct/>
        <w:adjustRightInd w:val="0"/>
        <w:snapToGrid w:val="0"/>
        <w:spacing w:line="360" w:lineRule="auto"/>
        <w:ind w:firstLine="360" w:firstLineChars="150"/>
        <w:jc w:val="left"/>
        <w:rPr>
          <w:rFonts w:hint="eastAsia" w:ascii="宋体" w:hAnsi="宋体" w:cs="宋体"/>
          <w:color w:val="auto"/>
          <w:kern w:val="0"/>
          <w:sz w:val="24"/>
          <w:szCs w:val="21"/>
          <w:highlight w:val="none"/>
        </w:rPr>
      </w:pPr>
      <w:r>
        <w:rPr>
          <w:rFonts w:hint="eastAsia" w:ascii="宋体" w:hAnsi="宋体" w:cs="宋体"/>
          <w:color w:val="auto"/>
          <w:kern w:val="0"/>
          <w:sz w:val="24"/>
          <w:szCs w:val="21"/>
          <w:highlight w:val="none"/>
        </w:rPr>
        <w:t>18.1响应文件一式3份，正本1份、副本2份。并明确标明“正本”和“副本”字样</w:t>
      </w:r>
      <w:r>
        <w:rPr>
          <w:rFonts w:hint="eastAsia" w:ascii="宋体" w:hAnsi="宋体" w:cs="宋体"/>
          <w:color w:val="auto"/>
          <w:kern w:val="0"/>
          <w:sz w:val="24"/>
          <w:szCs w:val="21"/>
          <w:highlight w:val="none"/>
          <w:lang w:val="en-US" w:eastAsia="zh-CN"/>
        </w:rPr>
        <w:t>和包件号</w:t>
      </w:r>
      <w:r>
        <w:rPr>
          <w:rFonts w:hint="eastAsia" w:ascii="宋体" w:hAnsi="宋体" w:cs="宋体"/>
          <w:color w:val="auto"/>
          <w:kern w:val="0"/>
          <w:sz w:val="24"/>
          <w:szCs w:val="21"/>
          <w:highlight w:val="none"/>
        </w:rPr>
        <w:t>，响应文件正本和副本如有不一致之处，以正本为准。</w:t>
      </w:r>
    </w:p>
    <w:p w14:paraId="6C6894DA">
      <w:pPr>
        <w:topLinePunct/>
        <w:adjustRightInd w:val="0"/>
        <w:snapToGrid w:val="0"/>
        <w:spacing w:line="360" w:lineRule="auto"/>
        <w:ind w:firstLine="360" w:firstLineChars="150"/>
        <w:jc w:val="left"/>
        <w:rPr>
          <w:rFonts w:hint="eastAsia" w:ascii="宋体" w:hAnsi="宋体" w:cs="宋体"/>
          <w:color w:val="auto"/>
          <w:kern w:val="0"/>
          <w:sz w:val="24"/>
          <w:szCs w:val="21"/>
          <w:highlight w:val="none"/>
        </w:rPr>
      </w:pPr>
      <w:r>
        <w:rPr>
          <w:rFonts w:hint="eastAsia" w:ascii="宋体" w:hAnsi="宋体" w:cs="宋体"/>
          <w:color w:val="auto"/>
          <w:kern w:val="0"/>
          <w:sz w:val="24"/>
          <w:szCs w:val="21"/>
          <w:highlight w:val="none"/>
        </w:rPr>
        <w:t>18.2电子文档1份（电子文档为用U盘存储的响应文件正本扫描件，pdf格式）电子文档与响应文件正本扫描件一致。</w:t>
      </w:r>
    </w:p>
    <w:p w14:paraId="2EA599BD">
      <w:pPr>
        <w:spacing w:line="360" w:lineRule="auto"/>
        <w:ind w:firstLine="360" w:firstLineChars="150"/>
        <w:jc w:val="left"/>
        <w:rPr>
          <w:rFonts w:hint="eastAsia" w:ascii="宋体" w:hAnsi="宋体" w:cs="宋体"/>
          <w:bCs/>
          <w:color w:val="auto"/>
          <w:sz w:val="24"/>
          <w:highlight w:val="none"/>
        </w:rPr>
      </w:pPr>
      <w:r>
        <w:rPr>
          <w:rFonts w:hint="eastAsia" w:ascii="宋体" w:hAnsi="宋体" w:cs="宋体"/>
          <w:bCs/>
          <w:color w:val="auto"/>
          <w:sz w:val="24"/>
          <w:highlight w:val="none"/>
        </w:rPr>
        <w:t>18.3响应文件正本和副本均需在规定签章处签字和盖章。响应文件副本可采用正本的复印件。</w:t>
      </w:r>
    </w:p>
    <w:p w14:paraId="13A1FF6D">
      <w:pPr>
        <w:spacing w:line="360" w:lineRule="auto"/>
        <w:ind w:firstLine="360" w:firstLineChars="150"/>
        <w:jc w:val="left"/>
        <w:rPr>
          <w:rFonts w:hint="eastAsia" w:ascii="宋体" w:hAnsi="宋体" w:cs="宋体"/>
          <w:bCs/>
          <w:color w:val="auto"/>
          <w:sz w:val="24"/>
          <w:highlight w:val="none"/>
        </w:rPr>
      </w:pPr>
      <w:r>
        <w:rPr>
          <w:rFonts w:hint="eastAsia" w:ascii="宋体" w:hAnsi="宋体" w:cs="宋体"/>
          <w:bCs/>
          <w:color w:val="auto"/>
          <w:sz w:val="24"/>
          <w:highlight w:val="none"/>
        </w:rPr>
        <w:t>18.4响应文件的打印和书写应清楚工整，任何行间插字、涂改或增删，必须由供应商的法定代表人或其授权代表签字并盖供应商公章。</w:t>
      </w:r>
    </w:p>
    <w:p w14:paraId="3C05C07A">
      <w:pPr>
        <w:spacing w:line="360" w:lineRule="auto"/>
        <w:ind w:firstLine="360" w:firstLineChars="150"/>
        <w:jc w:val="left"/>
        <w:rPr>
          <w:rFonts w:hint="eastAsia" w:ascii="宋体" w:hAnsi="宋体" w:cs="宋体"/>
          <w:bCs/>
          <w:color w:val="auto"/>
          <w:sz w:val="24"/>
          <w:highlight w:val="none"/>
        </w:rPr>
      </w:pPr>
      <w:r>
        <w:rPr>
          <w:rFonts w:hint="eastAsia" w:ascii="宋体" w:hAnsi="宋体" w:cs="宋体"/>
          <w:bCs/>
          <w:color w:val="auto"/>
          <w:sz w:val="24"/>
          <w:highlight w:val="none"/>
        </w:rPr>
        <w:t>18.5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108036C0">
      <w:pPr>
        <w:spacing w:line="360" w:lineRule="auto"/>
        <w:ind w:firstLine="360" w:firstLineChars="150"/>
        <w:jc w:val="left"/>
        <w:rPr>
          <w:rFonts w:hint="eastAsia" w:ascii="宋体" w:hAnsi="宋体" w:cs="宋体"/>
          <w:bCs/>
          <w:color w:val="auto"/>
          <w:sz w:val="24"/>
          <w:highlight w:val="none"/>
        </w:rPr>
      </w:pPr>
      <w:r>
        <w:rPr>
          <w:rFonts w:hint="eastAsia" w:ascii="宋体" w:hAnsi="宋体" w:cs="宋体"/>
          <w:bCs/>
          <w:color w:val="auto"/>
          <w:sz w:val="24"/>
          <w:highlight w:val="none"/>
        </w:rPr>
        <w:t>18.6响应文件正本和副本需要逐页编目编码。</w:t>
      </w:r>
    </w:p>
    <w:p w14:paraId="745830F7">
      <w:pPr>
        <w:tabs>
          <w:tab w:val="left" w:pos="1080"/>
        </w:tabs>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18.7响应文件正本和副本应当采用胶装方式装订成册，不得散装或者合页装订。</w:t>
      </w:r>
    </w:p>
    <w:p w14:paraId="66435B8F">
      <w:pPr>
        <w:tabs>
          <w:tab w:val="left" w:pos="1080"/>
        </w:tabs>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18.8响应文件应根据磋商文件的要求制作，签署、盖章。</w:t>
      </w:r>
    </w:p>
    <w:p w14:paraId="0EA02FDC">
      <w:pPr>
        <w:tabs>
          <w:tab w:val="left" w:pos="1080"/>
        </w:tabs>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18.9响应文件统一用A4幅面纸印制，除另有规定外。</w:t>
      </w:r>
    </w:p>
    <w:p w14:paraId="2615270B">
      <w:pPr>
        <w:tabs>
          <w:tab w:val="left" w:pos="1080"/>
        </w:tabs>
        <w:spacing w:line="360" w:lineRule="auto"/>
        <w:ind w:firstLine="361" w:firstLineChars="150"/>
        <w:jc w:val="left"/>
        <w:rPr>
          <w:rFonts w:hint="eastAsia" w:ascii="宋体" w:hAnsi="宋体" w:cs="宋体"/>
          <w:b/>
          <w:color w:val="auto"/>
          <w:sz w:val="24"/>
          <w:highlight w:val="none"/>
        </w:rPr>
      </w:pPr>
      <w:r>
        <w:rPr>
          <w:rFonts w:hint="eastAsia" w:ascii="宋体" w:hAnsi="宋体" w:cs="宋体"/>
          <w:b/>
          <w:color w:val="auto"/>
          <w:sz w:val="24"/>
          <w:highlight w:val="none"/>
        </w:rPr>
        <w:t>19.响应文件的密封和标注（实质性要求）</w:t>
      </w:r>
    </w:p>
    <w:p w14:paraId="4A99F206">
      <w:pPr>
        <w:tabs>
          <w:tab w:val="left" w:pos="1080"/>
        </w:tabs>
        <w:spacing w:line="360" w:lineRule="auto"/>
        <w:ind w:firstLine="360" w:firstLineChars="15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19.1供应商应分包件编制响应文件。</w:t>
      </w:r>
    </w:p>
    <w:p w14:paraId="3794D359">
      <w:pPr>
        <w:tabs>
          <w:tab w:val="left" w:pos="1080"/>
        </w:tabs>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19.</w:t>
      </w:r>
      <w:r>
        <w:rPr>
          <w:rFonts w:hint="eastAsia" w:ascii="宋体" w:hAnsi="宋体" w:cs="宋体"/>
          <w:color w:val="auto"/>
          <w:sz w:val="24"/>
          <w:highlight w:val="none"/>
          <w:lang w:val="en-US" w:eastAsia="zh-CN"/>
        </w:rPr>
        <w:t>2不同包件的响应文件分别密封包装，同一个包件的</w:t>
      </w:r>
      <w:r>
        <w:rPr>
          <w:rFonts w:hint="eastAsia" w:ascii="宋体" w:hAnsi="宋体" w:cs="宋体"/>
          <w:color w:val="auto"/>
          <w:sz w:val="24"/>
          <w:highlight w:val="none"/>
        </w:rPr>
        <w:t>所有响应文件密封包装在一个密封袋内，电子文档</w:t>
      </w:r>
      <w:r>
        <w:rPr>
          <w:rFonts w:hint="eastAsia" w:ascii="宋体" w:hAnsi="宋体" w:cs="宋体"/>
          <w:color w:val="auto"/>
          <w:sz w:val="24"/>
          <w:highlight w:val="none"/>
          <w:lang w:val="en-US" w:eastAsia="zh-CN"/>
        </w:rPr>
        <w:t>可不区别包件，但须</w:t>
      </w:r>
      <w:r>
        <w:rPr>
          <w:rFonts w:hint="eastAsia" w:ascii="宋体" w:hAnsi="宋体" w:cs="宋体"/>
          <w:color w:val="auto"/>
          <w:sz w:val="24"/>
          <w:highlight w:val="none"/>
        </w:rPr>
        <w:t>单独密封。</w:t>
      </w:r>
    </w:p>
    <w:p w14:paraId="4B5D154A">
      <w:pPr>
        <w:tabs>
          <w:tab w:val="left" w:pos="1080"/>
        </w:tabs>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19.</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响应文件及电子文档密封袋的最外层应清楚地标明响应文件/电子文档、采购项目名称、项目编号、包件号及名称（若有）、供应商名称并加盖供应商公章。</w:t>
      </w:r>
    </w:p>
    <w:p w14:paraId="037297C1">
      <w:pPr>
        <w:tabs>
          <w:tab w:val="left" w:pos="1080"/>
        </w:tabs>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19.</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所有外层密封袋的封口处应粘贴牢固。</w:t>
      </w:r>
    </w:p>
    <w:p w14:paraId="4C41AB9C">
      <w:pPr>
        <w:tabs>
          <w:tab w:val="left" w:pos="1080"/>
        </w:tabs>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19.</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未按以上要求进行密封和标注的响应文件，采购人、采购代理机构将拒收或者在时间允许的范围内，要求修改完善后接收。</w:t>
      </w:r>
    </w:p>
    <w:p w14:paraId="2B81CA94">
      <w:pPr>
        <w:tabs>
          <w:tab w:val="left" w:pos="1080"/>
        </w:tabs>
        <w:spacing w:line="360" w:lineRule="auto"/>
        <w:ind w:firstLine="361" w:firstLineChars="150"/>
        <w:jc w:val="left"/>
        <w:rPr>
          <w:rFonts w:hint="eastAsia" w:ascii="宋体" w:hAnsi="宋体" w:cs="宋体"/>
          <w:color w:val="auto"/>
          <w:sz w:val="24"/>
          <w:highlight w:val="none"/>
        </w:rPr>
      </w:pPr>
      <w:r>
        <w:rPr>
          <w:rFonts w:hint="eastAsia" w:ascii="宋体" w:hAnsi="宋体" w:cs="宋体"/>
          <w:b/>
          <w:color w:val="auto"/>
          <w:sz w:val="24"/>
          <w:highlight w:val="none"/>
        </w:rPr>
        <w:t>20.响应文件的递交</w:t>
      </w:r>
    </w:p>
    <w:p w14:paraId="30C352D5">
      <w:pPr>
        <w:tabs>
          <w:tab w:val="left" w:pos="1080"/>
        </w:tabs>
        <w:spacing w:line="360" w:lineRule="auto"/>
        <w:ind w:firstLine="460" w:firstLineChars="192"/>
        <w:rPr>
          <w:rFonts w:ascii="宋体"/>
          <w:color w:val="auto"/>
          <w:sz w:val="24"/>
          <w:highlight w:val="none"/>
        </w:rPr>
      </w:pPr>
      <w:r>
        <w:rPr>
          <w:rFonts w:hint="eastAsia" w:ascii="宋体"/>
          <w:color w:val="auto"/>
          <w:sz w:val="24"/>
          <w:highlight w:val="none"/>
        </w:rPr>
        <w:t>20.1</w:t>
      </w:r>
      <w:r>
        <w:rPr>
          <w:rFonts w:hint="eastAsia" w:ascii="宋体" w:hAnsi="宋体" w:cs="宋体"/>
          <w:b/>
          <w:bCs/>
          <w:color w:val="auto"/>
          <w:sz w:val="24"/>
          <w:highlight w:val="none"/>
          <w:lang w:val="zh-CN"/>
        </w:rPr>
        <w:t>响应文件（正、副本密封在一起），“最终报价表”是通过磋商后再提交，</w:t>
      </w:r>
      <w:r>
        <w:rPr>
          <w:rFonts w:hint="eastAsia" w:ascii="宋体"/>
          <w:color w:val="auto"/>
          <w:sz w:val="24"/>
          <w:highlight w:val="none"/>
          <w:lang w:val="zh-CN"/>
        </w:rPr>
        <w:t>所有文件</w:t>
      </w:r>
      <w:r>
        <w:rPr>
          <w:rFonts w:hint="eastAsia" w:ascii="宋体"/>
          <w:color w:val="auto"/>
          <w:sz w:val="24"/>
          <w:highlight w:val="none"/>
        </w:rPr>
        <w:t>应于递交响应文件截止时间前送达指定地点，采购</w:t>
      </w:r>
      <w:r>
        <w:rPr>
          <w:rFonts w:hint="eastAsia" w:ascii="宋体"/>
          <w:color w:val="auto"/>
          <w:sz w:val="24"/>
          <w:highlight w:val="none"/>
          <w:lang w:val="en-US" w:eastAsia="zh-CN"/>
        </w:rPr>
        <w:t>人</w:t>
      </w:r>
      <w:r>
        <w:rPr>
          <w:rFonts w:hint="eastAsia" w:ascii="宋体"/>
          <w:color w:val="auto"/>
          <w:sz w:val="24"/>
          <w:highlight w:val="none"/>
        </w:rPr>
        <w:t>拒绝接收截止时间后送达的响应文件。</w:t>
      </w:r>
    </w:p>
    <w:p w14:paraId="397CF3BB">
      <w:pPr>
        <w:tabs>
          <w:tab w:val="left" w:pos="1080"/>
        </w:tabs>
        <w:spacing w:line="360" w:lineRule="auto"/>
        <w:ind w:firstLine="460" w:firstLineChars="192"/>
        <w:rPr>
          <w:rFonts w:ascii="宋体"/>
          <w:color w:val="auto"/>
          <w:sz w:val="24"/>
          <w:highlight w:val="red"/>
        </w:rPr>
      </w:pPr>
      <w:r>
        <w:rPr>
          <w:rFonts w:hint="eastAsia" w:ascii="宋体"/>
          <w:color w:val="auto"/>
          <w:sz w:val="24"/>
          <w:highlight w:val="none"/>
        </w:rPr>
        <w:t>20.2采购人将对所有递交响应文件的供应商进行资格审查，通过资格审查的供应商进入后续磋商环节，并向未通过资格审查的供应商告知未通过原因。</w:t>
      </w:r>
    </w:p>
    <w:p w14:paraId="593D21BA">
      <w:pPr>
        <w:tabs>
          <w:tab w:val="left" w:pos="1080"/>
        </w:tabs>
        <w:spacing w:line="360" w:lineRule="auto"/>
        <w:ind w:firstLine="460" w:firstLineChars="192"/>
        <w:rPr>
          <w:rFonts w:ascii="宋体"/>
          <w:color w:val="auto"/>
          <w:sz w:val="24"/>
          <w:highlight w:val="none"/>
        </w:rPr>
      </w:pPr>
      <w:r>
        <w:rPr>
          <w:rFonts w:hint="eastAsia" w:ascii="宋体"/>
          <w:color w:val="auto"/>
          <w:sz w:val="24"/>
          <w:highlight w:val="none"/>
        </w:rPr>
        <w:t>20.3最终报价表在磋商后，磋商小组要求供应商进行最后报价时递交。</w:t>
      </w:r>
    </w:p>
    <w:p w14:paraId="3404AF54">
      <w:pPr>
        <w:tabs>
          <w:tab w:val="left" w:pos="1080"/>
        </w:tabs>
        <w:spacing w:line="360" w:lineRule="auto"/>
        <w:ind w:firstLine="480" w:firstLineChars="200"/>
        <w:jc w:val="left"/>
        <w:rPr>
          <w:rFonts w:hint="eastAsia" w:ascii="宋体"/>
          <w:color w:val="auto"/>
          <w:sz w:val="24"/>
          <w:highlight w:val="none"/>
        </w:rPr>
      </w:pPr>
      <w:r>
        <w:rPr>
          <w:rFonts w:hint="eastAsia" w:ascii="宋体"/>
          <w:color w:val="auto"/>
          <w:sz w:val="24"/>
          <w:highlight w:val="none"/>
        </w:rPr>
        <w:t>20.4本次采购不接收邮寄的响应文件。</w:t>
      </w:r>
    </w:p>
    <w:p w14:paraId="04C7DB30">
      <w:pPr>
        <w:tabs>
          <w:tab w:val="left" w:pos="1080"/>
        </w:tabs>
        <w:spacing w:line="360" w:lineRule="auto"/>
        <w:ind w:firstLine="361" w:firstLineChars="150"/>
        <w:jc w:val="left"/>
        <w:rPr>
          <w:rFonts w:hint="eastAsia" w:ascii="宋体" w:hAnsi="宋体" w:cs="宋体"/>
          <w:b/>
          <w:bCs/>
          <w:color w:val="auto"/>
          <w:sz w:val="24"/>
          <w:highlight w:val="none"/>
        </w:rPr>
      </w:pPr>
      <w:r>
        <w:rPr>
          <w:rFonts w:hint="eastAsia" w:ascii="宋体" w:hAnsi="宋体" w:cs="宋体"/>
          <w:b/>
          <w:bCs/>
          <w:color w:val="auto"/>
          <w:sz w:val="24"/>
          <w:highlight w:val="none"/>
        </w:rPr>
        <w:t>21.</w:t>
      </w:r>
      <w:r>
        <w:rPr>
          <w:rFonts w:hint="eastAsia" w:ascii="宋体" w:hAnsi="宋体" w:cs="宋体"/>
          <w:b/>
          <w:color w:val="auto"/>
          <w:sz w:val="24"/>
          <w:highlight w:val="none"/>
        </w:rPr>
        <w:t>响应文件的修改和撤回（补充、修改响应文件的密封和标注按照本章“19.响应文件的密封和标注”规定处理）</w:t>
      </w:r>
    </w:p>
    <w:p w14:paraId="5EB7F002">
      <w:pPr>
        <w:pStyle w:val="7"/>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21.1供应商在提交响应文件后可对其响应文件进行修改或撤回，但该修改或撤回的书面通知须在递交截止时间之前送达采购</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4E4F672C">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21.2供应商对响应文件修改的书面材料或撤回的通知应该按规定进行编写、密封、标注和递送，并注明“修改响应文件”字样。</w:t>
      </w:r>
    </w:p>
    <w:p w14:paraId="0BF273C9">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21.3供应商不得在递交截止时间起至响应文件有效期期满前撤销其响应文件。否则其磋商保证金将按磋商文件要求的相关规定被没收(如有)。</w:t>
      </w:r>
    </w:p>
    <w:p w14:paraId="7AD0FB09">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21.4响应文件中报价如果出现下列不一致的，可按以下原则进行修改：</w:t>
      </w:r>
    </w:p>
    <w:p w14:paraId="4F5509CA">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（一）</w:t>
      </w:r>
      <w:r>
        <w:rPr>
          <w:rFonts w:hint="eastAsia" w:ascii="宋体" w:hAnsi="宋体" w:cs="宋体"/>
          <w:color w:val="auto"/>
          <w:kern w:val="0"/>
          <w:sz w:val="24"/>
          <w:highlight w:val="none"/>
        </w:rPr>
        <w:t>大写金额和小写金额不一致的，以大写金额为准</w:t>
      </w:r>
      <w:r>
        <w:rPr>
          <w:rFonts w:hint="eastAsia" w:ascii="宋体" w:hAnsi="宋体" w:cs="宋体"/>
          <w:color w:val="auto"/>
          <w:sz w:val="24"/>
          <w:highlight w:val="none"/>
        </w:rPr>
        <w:t>，但大写金额文字存在错误的，应当先对大写金额的文字错误进行澄清、说明或者更正，再行修正。</w:t>
      </w:r>
    </w:p>
    <w:p w14:paraId="2F132A88">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2ACB3025">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（三）单价金额小数点或者百分比有明显错位的，以总价为准，修正单价。</w:t>
      </w:r>
    </w:p>
    <w:p w14:paraId="37AF6C29">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7C25D15A">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21.5供应商对其提交的响应文件的真实性、合法性承担法律责任。</w:t>
      </w:r>
      <w:bookmarkEnd w:id="29"/>
      <w:bookmarkEnd w:id="30"/>
      <w:bookmarkEnd w:id="31"/>
      <w:bookmarkStart w:id="32" w:name="_Toc24717"/>
      <w:bookmarkStart w:id="33" w:name="_Toc28979"/>
    </w:p>
    <w:p w14:paraId="40B435F3">
      <w:pPr>
        <w:pStyle w:val="11"/>
        <w:rPr>
          <w:rFonts w:hint="eastAsia"/>
          <w:color w:val="auto"/>
          <w:highlight w:val="none"/>
        </w:rPr>
      </w:pPr>
    </w:p>
    <w:p w14:paraId="6BB26DC2">
      <w:pPr>
        <w:adjustRightInd w:val="0"/>
        <w:snapToGrid w:val="0"/>
        <w:spacing w:line="360" w:lineRule="auto"/>
        <w:ind w:firstLine="361" w:firstLineChars="150"/>
        <w:jc w:val="center"/>
        <w:rPr>
          <w:rFonts w:hint="eastAsia" w:ascii="宋体" w:hAnsi="宋体" w:cs="宋体"/>
          <w:b/>
          <w:color w:val="auto"/>
          <w:sz w:val="24"/>
          <w:highlight w:val="none"/>
        </w:rPr>
      </w:pPr>
      <w:r>
        <w:rPr>
          <w:rFonts w:hint="eastAsia" w:ascii="宋体" w:hAnsi="宋体" w:cs="宋体"/>
          <w:b/>
          <w:color w:val="auto"/>
          <w:sz w:val="24"/>
          <w:highlight w:val="none"/>
        </w:rPr>
        <w:t>五、评审</w:t>
      </w:r>
      <w:bookmarkEnd w:id="32"/>
      <w:bookmarkEnd w:id="33"/>
    </w:p>
    <w:p w14:paraId="503D425D">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22.磋商小组的组建及其评审工作按照有关法律制度和本文件第九章的规定进行。</w:t>
      </w:r>
    </w:p>
    <w:p w14:paraId="3DDE9C81">
      <w:pPr>
        <w:pStyle w:val="11"/>
        <w:rPr>
          <w:rFonts w:hint="eastAsia"/>
          <w:color w:val="auto"/>
          <w:highlight w:val="none"/>
        </w:rPr>
      </w:pPr>
    </w:p>
    <w:p w14:paraId="3CA851AE">
      <w:pPr>
        <w:adjustRightInd w:val="0"/>
        <w:snapToGrid w:val="0"/>
        <w:spacing w:line="360" w:lineRule="auto"/>
        <w:ind w:firstLine="361" w:firstLineChars="150"/>
        <w:jc w:val="center"/>
        <w:rPr>
          <w:rFonts w:hint="eastAsia" w:ascii="宋体" w:hAnsi="宋体" w:cs="宋体"/>
          <w:b/>
          <w:color w:val="auto"/>
          <w:sz w:val="24"/>
          <w:highlight w:val="none"/>
        </w:rPr>
      </w:pPr>
      <w:bookmarkStart w:id="34" w:name="_Toc9119"/>
      <w:bookmarkStart w:id="35" w:name="_Toc18693"/>
      <w:r>
        <w:rPr>
          <w:rFonts w:hint="eastAsia" w:ascii="宋体" w:hAnsi="宋体" w:cs="宋体"/>
          <w:b/>
          <w:color w:val="auto"/>
          <w:sz w:val="24"/>
          <w:highlight w:val="none"/>
        </w:rPr>
        <w:t>六、成交事项</w:t>
      </w:r>
      <w:bookmarkEnd w:id="34"/>
      <w:bookmarkEnd w:id="35"/>
    </w:p>
    <w:p w14:paraId="30F83F38">
      <w:pPr>
        <w:adjustRightInd w:val="0"/>
        <w:snapToGrid w:val="0"/>
        <w:spacing w:line="360" w:lineRule="auto"/>
        <w:ind w:firstLine="361" w:firstLineChars="150"/>
        <w:jc w:val="left"/>
        <w:rPr>
          <w:rFonts w:hint="eastAsia" w:ascii="宋体" w:hAnsi="宋体" w:cs="宋体"/>
          <w:color w:val="auto"/>
          <w:sz w:val="24"/>
          <w:highlight w:val="none"/>
        </w:rPr>
      </w:pPr>
      <w:r>
        <w:rPr>
          <w:rFonts w:hint="eastAsia" w:ascii="宋体" w:hAnsi="宋体" w:cs="宋体"/>
          <w:b/>
          <w:color w:val="auto"/>
          <w:sz w:val="24"/>
          <w:highlight w:val="none"/>
        </w:rPr>
        <w:t>23.确定成交供应商</w:t>
      </w:r>
    </w:p>
    <w:p w14:paraId="3F8A52E4">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采购人将按磋商小组推荐的成交候选供应商顺序确定成交供应商。</w:t>
      </w:r>
    </w:p>
    <w:p w14:paraId="037BBDF8">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23.1采购代理机构自评审结束后2个工作日内将磋商报告及有关资料送交采购人确定成交供应商。</w:t>
      </w:r>
    </w:p>
    <w:p w14:paraId="4B1F88FF">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23.2采购人收到磋商报告及有关资料后，将在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14:paraId="1C255EB1">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23.3采购人确定成交供应商过程中，发现成交候选供应商有下列情形之一的，应当不予确定其为成交供应商：</w:t>
      </w:r>
    </w:p>
    <w:p w14:paraId="11971E47">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(1)发现成交候选供应商存在禁止参加本项目采购活动的违法行为的；</w:t>
      </w:r>
    </w:p>
    <w:p w14:paraId="6887EB2B">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(2)成交候选供应商因不可抗力，不能继续参加政府采购活动；</w:t>
      </w:r>
    </w:p>
    <w:p w14:paraId="33360563">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(3)成交候选供应商无偿赠与或者低于成本价竞争；</w:t>
      </w:r>
    </w:p>
    <w:p w14:paraId="3C77A50B">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(4)成交候选供应商提供虚假材料；</w:t>
      </w:r>
    </w:p>
    <w:p w14:paraId="047FBD74">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(5)成交候选供应商恶意串通。</w:t>
      </w:r>
    </w:p>
    <w:p w14:paraId="4F42CDB9">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成交候选供应商有本条情形之一的，采购人可以确定后一位成交候选供应商为成交供应商，依次类推。无法确定成交供应商的，应当重新组织采购。</w:t>
      </w:r>
    </w:p>
    <w:p w14:paraId="27A6B006">
      <w:pPr>
        <w:adjustRightInd w:val="0"/>
        <w:snapToGrid w:val="0"/>
        <w:spacing w:line="360" w:lineRule="auto"/>
        <w:ind w:firstLine="361" w:firstLineChars="150"/>
        <w:jc w:val="left"/>
        <w:rPr>
          <w:rFonts w:hint="eastAsia" w:ascii="宋体" w:hAnsi="宋体" w:cs="宋体"/>
          <w:color w:val="auto"/>
          <w:sz w:val="24"/>
          <w:highlight w:val="none"/>
        </w:rPr>
      </w:pPr>
      <w:r>
        <w:rPr>
          <w:rFonts w:hint="eastAsia" w:ascii="宋体" w:hAnsi="宋体" w:cs="宋体"/>
          <w:b/>
          <w:color w:val="auto"/>
          <w:sz w:val="24"/>
          <w:highlight w:val="none"/>
        </w:rPr>
        <w:t>24.成交结果</w:t>
      </w:r>
    </w:p>
    <w:p w14:paraId="77CE323A">
      <w:pPr>
        <w:adjustRightInd w:val="0"/>
        <w:snapToGrid w:val="0"/>
        <w:spacing w:line="360" w:lineRule="auto"/>
        <w:ind w:firstLine="360" w:firstLineChars="150"/>
        <w:jc w:val="left"/>
        <w:rPr>
          <w:rFonts w:hint="eastAsia" w:ascii="宋体" w:hAnsi="宋体" w:cs="宋体"/>
          <w:color w:val="auto"/>
          <w:sz w:val="24"/>
          <w:highlight w:val="none"/>
          <w:lang w:val="en-US" w:eastAsia="zh-CN"/>
        </w:rPr>
      </w:pPr>
      <w:r>
        <w:rPr>
          <w:rFonts w:hint="eastAsia" w:ascii="宋体" w:hAnsi="宋体" w:cs="宋体"/>
          <w:color w:val="auto"/>
          <w:sz w:val="24"/>
          <w:highlight w:val="none"/>
        </w:rPr>
        <w:t>24.1</w:t>
      </w:r>
      <w:r>
        <w:rPr>
          <w:rFonts w:hint="eastAsia" w:ascii="宋体" w:hAnsi="宋体" w:cs="宋体"/>
          <w:color w:val="auto"/>
          <w:sz w:val="24"/>
          <w:highlight w:val="none"/>
          <w:lang w:val="en-US" w:eastAsia="zh-CN"/>
        </w:rPr>
        <w:t>采购人按照磋商小组推荐的成交候选供应商排序，依法确定本项目成交供应商。</w:t>
      </w:r>
    </w:p>
    <w:p w14:paraId="4EB265BE">
      <w:pPr>
        <w:adjustRightInd w:val="0"/>
        <w:snapToGrid w:val="0"/>
        <w:spacing w:line="360" w:lineRule="auto"/>
        <w:jc w:val="left"/>
        <w:rPr>
          <w:rFonts w:hint="eastAsia" w:ascii="宋体" w:hAnsi="宋体" w:eastAsia="宋体" w:cs="宋体"/>
          <w:color w:val="auto"/>
          <w:sz w:val="24"/>
          <w:highlight w:val="red"/>
          <w:lang w:val="en-US" w:eastAsia="zh-CN"/>
        </w:rPr>
      </w:pPr>
      <w:r>
        <w:rPr>
          <w:rFonts w:hint="eastAsia" w:ascii="宋体" w:hAnsi="宋体" w:cs="宋体"/>
          <w:color w:val="auto"/>
          <w:sz w:val="24"/>
          <w:highlight w:val="none"/>
          <w:lang w:val="en-US" w:eastAsia="zh-CN"/>
        </w:rPr>
        <w:t>成交供应商确定后，采购人将在 2 个工作日内，在四川信息职业技术学院—通知公告栏发布成交结果公告。</w:t>
      </w:r>
    </w:p>
    <w:p w14:paraId="5B60B866">
      <w:pPr>
        <w:adjustRightInd w:val="0"/>
        <w:snapToGrid w:val="0"/>
        <w:spacing w:line="360" w:lineRule="auto"/>
        <w:ind w:firstLine="360" w:firstLineChars="150"/>
        <w:jc w:val="left"/>
        <w:rPr>
          <w:rFonts w:hint="eastAsia" w:ascii="宋体" w:hAnsi="宋体" w:cs="宋体"/>
          <w:bCs/>
          <w:color w:val="auto"/>
          <w:sz w:val="24"/>
          <w:highlight w:val="none"/>
        </w:rPr>
      </w:pPr>
      <w:r>
        <w:rPr>
          <w:rFonts w:hint="eastAsia" w:ascii="宋体" w:hAnsi="宋体" w:cs="宋体"/>
          <w:bCs/>
          <w:color w:val="auto"/>
          <w:sz w:val="24"/>
          <w:highlight w:val="none"/>
        </w:rPr>
        <w:t>24.2成交供应商应当及时领取成交通知书。</w:t>
      </w:r>
    </w:p>
    <w:p w14:paraId="39278175">
      <w:pPr>
        <w:adjustRightInd w:val="0"/>
        <w:snapToGrid w:val="0"/>
        <w:spacing w:line="360" w:lineRule="auto"/>
        <w:ind w:firstLine="361" w:firstLineChars="150"/>
        <w:jc w:val="left"/>
        <w:rPr>
          <w:rFonts w:hint="eastAsia" w:ascii="宋体" w:hAnsi="宋体" w:cs="宋体"/>
          <w:color w:val="auto"/>
          <w:sz w:val="24"/>
          <w:highlight w:val="none"/>
        </w:rPr>
      </w:pPr>
      <w:r>
        <w:rPr>
          <w:rFonts w:hint="eastAsia" w:ascii="宋体" w:hAnsi="宋体" w:cs="宋体"/>
          <w:b/>
          <w:color w:val="auto"/>
          <w:sz w:val="24"/>
          <w:highlight w:val="none"/>
        </w:rPr>
        <w:t>25.成交通知书</w:t>
      </w:r>
    </w:p>
    <w:p w14:paraId="2B2DF573">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25.1成交通知书为签订政府采购合同的依据之一，是合同的有效组成部分。</w:t>
      </w:r>
    </w:p>
    <w:p w14:paraId="7188B678">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25.2成交通知书对采购人和成交供应商均具有法律效力。成交通知书发出后，采购人无正当理由改变成交结果，或者成交供应商无正当理由放弃成交的，将承担相应的法律责任。</w:t>
      </w:r>
    </w:p>
    <w:p w14:paraId="2E46F769">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25.3成交供应商的响应文件作为无效响应文件处理或者有政府采购法律法规规章制度规定的成交无效情形的，采购人/采购代理机构在取得有权主体的认定以后，有权宣布发出的成交通知书无效，并收回发出的成交通知书，依法重新确定成交供应商或者重新开展采购活动。</w:t>
      </w:r>
    </w:p>
    <w:p w14:paraId="1CE2A4A9">
      <w:pPr>
        <w:pStyle w:val="11"/>
        <w:rPr>
          <w:rFonts w:hint="eastAsia"/>
          <w:color w:val="auto"/>
          <w:highlight w:val="none"/>
        </w:rPr>
      </w:pPr>
    </w:p>
    <w:p w14:paraId="617AAC38">
      <w:pPr>
        <w:adjustRightInd w:val="0"/>
        <w:snapToGrid w:val="0"/>
        <w:spacing w:line="360" w:lineRule="auto"/>
        <w:ind w:firstLine="361" w:firstLineChars="150"/>
        <w:jc w:val="center"/>
        <w:rPr>
          <w:rFonts w:hint="eastAsia" w:ascii="宋体" w:hAnsi="宋体" w:cs="宋体"/>
          <w:b/>
          <w:color w:val="auto"/>
          <w:sz w:val="24"/>
          <w:highlight w:val="none"/>
        </w:rPr>
      </w:pPr>
      <w:bookmarkStart w:id="36" w:name="_Toc3832"/>
      <w:bookmarkStart w:id="37" w:name="_Toc9795"/>
      <w:r>
        <w:rPr>
          <w:rFonts w:hint="eastAsia" w:ascii="宋体" w:hAnsi="宋体" w:cs="宋体"/>
          <w:b/>
          <w:color w:val="auto"/>
          <w:sz w:val="24"/>
          <w:highlight w:val="none"/>
        </w:rPr>
        <w:t>七、合同事项</w:t>
      </w:r>
      <w:bookmarkEnd w:id="36"/>
      <w:bookmarkEnd w:id="37"/>
    </w:p>
    <w:p w14:paraId="59A13707">
      <w:pPr>
        <w:adjustRightInd w:val="0"/>
        <w:snapToGrid w:val="0"/>
        <w:spacing w:line="360" w:lineRule="auto"/>
        <w:ind w:firstLine="361" w:firstLineChars="150"/>
        <w:jc w:val="left"/>
        <w:rPr>
          <w:rFonts w:hint="eastAsia" w:ascii="宋体" w:hAnsi="宋体" w:cs="宋体"/>
          <w:color w:val="auto"/>
          <w:sz w:val="24"/>
          <w:highlight w:val="none"/>
        </w:rPr>
      </w:pPr>
      <w:r>
        <w:rPr>
          <w:rFonts w:hint="eastAsia" w:ascii="宋体" w:hAnsi="宋体" w:cs="宋体"/>
          <w:b/>
          <w:color w:val="auto"/>
          <w:sz w:val="24"/>
          <w:highlight w:val="none"/>
        </w:rPr>
        <w:t>26.签订合同</w:t>
      </w:r>
    </w:p>
    <w:p w14:paraId="7BF23E34">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26.1成交供应商应在成交通知书发出之日</w:t>
      </w:r>
      <w:r>
        <w:rPr>
          <w:rFonts w:hint="eastAsia" w:ascii="宋体" w:hAnsi="宋体" w:cs="宋体"/>
          <w:color w:val="auto"/>
          <w:sz w:val="24"/>
          <w:highlight w:val="none"/>
          <w:lang w:val="en-US" w:eastAsia="zh-CN"/>
        </w:rPr>
        <w:t>起三十个工作</w:t>
      </w:r>
      <w:r>
        <w:rPr>
          <w:rFonts w:hint="eastAsia" w:ascii="宋体" w:hAnsi="宋体" w:cs="宋体"/>
          <w:color w:val="auto"/>
          <w:sz w:val="24"/>
          <w:highlight w:val="none"/>
        </w:rPr>
        <w:t>日内与采购人签订采购合同。由于成交供应商的原因逾期未与采购人签订采购合同的，将视为放弃成交，取消其成交资格并将按相关规定进行处理。</w:t>
      </w:r>
    </w:p>
    <w:p w14:paraId="4D665EB0">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26.2磋商文件、成交供应商的响应文件及双方确认的澄清文件等，均为有法律约束力的合同组成部分。</w:t>
      </w:r>
    </w:p>
    <w:p w14:paraId="598215E3">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26.3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5AA682F2">
      <w:pPr>
        <w:adjustRightInd w:val="0"/>
        <w:snapToGrid w:val="0"/>
        <w:spacing w:line="360" w:lineRule="auto"/>
        <w:ind w:firstLine="360" w:firstLineChars="150"/>
        <w:jc w:val="left"/>
        <w:rPr>
          <w:rFonts w:hint="eastAsia" w:ascii="宋体" w:hAnsi="宋体" w:cs="宋体"/>
          <w:color w:val="auto"/>
          <w:sz w:val="24"/>
          <w:highlight w:val="yellow"/>
        </w:rPr>
      </w:pPr>
      <w:r>
        <w:rPr>
          <w:rFonts w:hint="eastAsia" w:ascii="宋体" w:hAnsi="宋体" w:cs="宋体"/>
          <w:color w:val="auto"/>
          <w:sz w:val="24"/>
          <w:highlight w:val="none"/>
        </w:rPr>
        <w:t>26.4成交供应商因不可抗力原因不能履行采购合同或放弃成交的，采购人可以与排在成交供应商之后第一位的成交候选人签订采购合同，以此类推。</w:t>
      </w:r>
    </w:p>
    <w:p w14:paraId="33C7D3BE">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26.5竞争性磋商文件、成交供应商提交的响应文件、磋商中的最后报价、成交供应商承诺书、成交通知书等均称为有法律约束力的合同组成内容。</w:t>
      </w:r>
    </w:p>
    <w:p w14:paraId="7630EE83">
      <w:pPr>
        <w:adjustRightInd w:val="0"/>
        <w:snapToGrid w:val="0"/>
        <w:spacing w:line="360" w:lineRule="auto"/>
        <w:ind w:firstLine="361" w:firstLineChars="150"/>
        <w:jc w:val="left"/>
        <w:rPr>
          <w:rFonts w:hint="eastAsia" w:ascii="宋体" w:hAnsi="宋体" w:cs="宋体"/>
          <w:color w:val="auto"/>
          <w:sz w:val="24"/>
          <w:highlight w:val="none"/>
        </w:rPr>
      </w:pPr>
      <w:r>
        <w:rPr>
          <w:rFonts w:hint="eastAsia" w:ascii="宋体" w:hAnsi="宋体" w:cs="宋体"/>
          <w:b/>
          <w:color w:val="auto"/>
          <w:sz w:val="24"/>
          <w:highlight w:val="none"/>
        </w:rPr>
        <w:t>27.合同分包</w:t>
      </w:r>
    </w:p>
    <w:p w14:paraId="399DAD48">
      <w:pPr>
        <w:adjustRightInd w:val="0"/>
        <w:snapToGrid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27.1本项目合同接受分包与否，以“供应商须知附表”勾选项为准。</w:t>
      </w:r>
    </w:p>
    <w:p w14:paraId="41D01499">
      <w:pPr>
        <w:adjustRightInd w:val="0"/>
        <w:snapToGrid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27.2 采购合同实行分包履行的，成交供应商就采购项目和分包项目向采购人负责，分包供应商就分包项目承担责任。履行分包项目事项应当具备法定资质规定要求的，分包供应商应当具备相应资质。</w:t>
      </w:r>
    </w:p>
    <w:p w14:paraId="662ED795">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27.3中小企业依据《政府采购促进中小企业发展管理办法》（财库[2020]46号）规定的政策获取政府采购合同后，小型、微型企业不得分包或转包给大型、中型企业，中型企业不得分包或转包给大型企业。</w:t>
      </w:r>
    </w:p>
    <w:p w14:paraId="12B51C42">
      <w:pPr>
        <w:adjustRightInd w:val="0"/>
        <w:snapToGrid w:val="0"/>
        <w:spacing w:line="360" w:lineRule="auto"/>
        <w:ind w:firstLine="361" w:firstLineChars="150"/>
        <w:jc w:val="left"/>
        <w:rPr>
          <w:rFonts w:hint="eastAsia" w:ascii="宋体" w:hAnsi="宋体" w:cs="宋体"/>
          <w:color w:val="auto"/>
          <w:sz w:val="24"/>
          <w:highlight w:val="none"/>
        </w:rPr>
      </w:pPr>
      <w:r>
        <w:rPr>
          <w:rFonts w:hint="eastAsia" w:ascii="宋体" w:hAnsi="宋体" w:cs="宋体"/>
          <w:b/>
          <w:color w:val="auto"/>
          <w:sz w:val="24"/>
          <w:highlight w:val="none"/>
        </w:rPr>
        <w:t>28.合同转包</w:t>
      </w:r>
    </w:p>
    <w:p w14:paraId="62EB1103">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14:paraId="387E72BF">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成交供应商转包的，视同拒绝履行政府采购合同义务，将依法追究法律责任。</w:t>
      </w:r>
    </w:p>
    <w:p w14:paraId="145BDB08">
      <w:pPr>
        <w:adjustRightInd w:val="0"/>
        <w:snapToGrid w:val="0"/>
        <w:spacing w:line="360" w:lineRule="auto"/>
        <w:ind w:firstLine="361" w:firstLineChars="150"/>
        <w:jc w:val="left"/>
        <w:rPr>
          <w:rFonts w:hint="eastAsia" w:ascii="宋体" w:hAnsi="宋体" w:cs="宋体"/>
          <w:color w:val="auto"/>
          <w:sz w:val="24"/>
          <w:highlight w:val="none"/>
        </w:rPr>
      </w:pPr>
      <w:r>
        <w:rPr>
          <w:rFonts w:hint="eastAsia" w:ascii="宋体" w:hAnsi="宋体" w:cs="宋体"/>
          <w:b/>
          <w:color w:val="auto"/>
          <w:sz w:val="24"/>
          <w:highlight w:val="none"/>
        </w:rPr>
        <w:t>29.补充合同</w:t>
      </w:r>
    </w:p>
    <w:p w14:paraId="335A68F3">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w:t>
      </w:r>
      <w:r>
        <w:rPr>
          <w:rFonts w:hint="eastAsia" w:ascii="宋体" w:hAnsi="宋体" w:cs="宋体"/>
          <w:color w:val="auto"/>
          <w:sz w:val="24"/>
          <w:highlight w:val="none"/>
          <w:u w:val="single"/>
        </w:rPr>
        <w:t>10%</w:t>
      </w:r>
      <w:r>
        <w:rPr>
          <w:rFonts w:hint="eastAsia" w:ascii="宋体" w:hAnsi="宋体" w:cs="宋体"/>
          <w:color w:val="auto"/>
          <w:sz w:val="24"/>
          <w:highlight w:val="none"/>
        </w:rPr>
        <w:t>，该补充合同应当在原政府采购合同履行过程中，不得在原政府采购合同履行结束后，且采购货物、工程和服务的名称、价格、履约方式、验收标准等必须与原政府采购合同一致。</w:t>
      </w:r>
    </w:p>
    <w:p w14:paraId="7E634CEE">
      <w:pPr>
        <w:adjustRightInd w:val="0"/>
        <w:snapToGrid w:val="0"/>
        <w:spacing w:line="360" w:lineRule="auto"/>
        <w:ind w:firstLine="361" w:firstLineChars="150"/>
        <w:jc w:val="left"/>
        <w:rPr>
          <w:rFonts w:hint="eastAsia" w:ascii="宋体" w:hAnsi="宋体" w:cs="宋体"/>
          <w:color w:val="auto"/>
          <w:sz w:val="24"/>
          <w:highlight w:val="none"/>
        </w:rPr>
      </w:pPr>
      <w:r>
        <w:rPr>
          <w:rFonts w:hint="eastAsia" w:ascii="宋体" w:hAnsi="宋体" w:cs="宋体"/>
          <w:b/>
          <w:color w:val="auto"/>
          <w:sz w:val="24"/>
          <w:highlight w:val="none"/>
        </w:rPr>
        <w:t>30.履约保证金（实质性要求）</w:t>
      </w:r>
    </w:p>
    <w:p w14:paraId="426F5497">
      <w:pPr>
        <w:adjustRightInd w:val="0"/>
        <w:snapToGrid w:val="0"/>
        <w:spacing w:line="360" w:lineRule="auto"/>
        <w:ind w:firstLine="360" w:firstLineChars="150"/>
        <w:jc w:val="left"/>
        <w:rPr>
          <w:rFonts w:hint="eastAsia" w:hAnsi="宋体"/>
          <w:color w:val="000000"/>
          <w:sz w:val="24"/>
          <w:highlight w:val="none"/>
        </w:rPr>
      </w:pPr>
      <w:r>
        <w:rPr>
          <w:rFonts w:hint="eastAsia" w:hAnsi="宋体"/>
          <w:color w:val="000000"/>
          <w:sz w:val="24"/>
          <w:highlight w:val="none"/>
          <w:lang w:val="en-US" w:eastAsia="zh-CN"/>
        </w:rPr>
        <w:t>30</w:t>
      </w:r>
      <w:r>
        <w:rPr>
          <w:rFonts w:hint="eastAsia" w:hAnsi="宋体"/>
          <w:color w:val="000000"/>
          <w:sz w:val="24"/>
          <w:highlight w:val="none"/>
        </w:rPr>
        <w:t>.1成交供应商应在合同签订之前交纳采购文件规定数额的履约保证金。具体详见采购文件第二章“</w:t>
      </w:r>
      <w:r>
        <w:rPr>
          <w:rFonts w:hint="eastAsia" w:ascii="宋体" w:hAnsi="宋体"/>
          <w:sz w:val="24"/>
          <w:highlight w:val="none"/>
        </w:rPr>
        <w:t>供应商须知附表</w:t>
      </w:r>
      <w:r>
        <w:rPr>
          <w:rFonts w:hint="eastAsia" w:hAnsi="宋体"/>
          <w:color w:val="000000"/>
          <w:sz w:val="24"/>
          <w:highlight w:val="none"/>
        </w:rPr>
        <w:t>”的相关条款。</w:t>
      </w:r>
    </w:p>
    <w:p w14:paraId="110427A4">
      <w:pPr>
        <w:adjustRightInd w:val="0"/>
        <w:snapToGrid w:val="0"/>
        <w:spacing w:line="360" w:lineRule="auto"/>
        <w:ind w:firstLine="360" w:firstLineChars="150"/>
        <w:jc w:val="left"/>
        <w:rPr>
          <w:rFonts w:hint="eastAsia"/>
          <w:highlight w:val="none"/>
        </w:rPr>
      </w:pPr>
      <w:r>
        <w:rPr>
          <w:rFonts w:hint="eastAsia" w:hAnsi="宋体"/>
          <w:color w:val="000000"/>
          <w:sz w:val="24"/>
          <w:highlight w:val="none"/>
          <w:lang w:val="en-US" w:eastAsia="zh-CN"/>
        </w:rPr>
        <w:t>30</w:t>
      </w:r>
      <w:r>
        <w:rPr>
          <w:rFonts w:hint="eastAsia" w:hAnsi="宋体"/>
          <w:color w:val="000000"/>
          <w:sz w:val="24"/>
          <w:highlight w:val="none"/>
        </w:rPr>
        <w:t>.2如果成交供应商在规定的合同签订时间内，没有按照采购文件的规定交纳履约保证金，且又无正当理由的，将视为放弃成交。</w:t>
      </w:r>
    </w:p>
    <w:p w14:paraId="3EE29FB3">
      <w:pPr>
        <w:adjustRightInd w:val="0"/>
        <w:snapToGrid w:val="0"/>
        <w:spacing w:line="360" w:lineRule="auto"/>
        <w:ind w:firstLine="361" w:firstLineChars="150"/>
        <w:jc w:val="left"/>
        <w:rPr>
          <w:rFonts w:hint="eastAsia" w:ascii="宋体" w:hAnsi="宋体" w:cs="宋体"/>
          <w:color w:val="auto"/>
          <w:sz w:val="24"/>
          <w:highlight w:val="none"/>
        </w:rPr>
      </w:pPr>
      <w:r>
        <w:rPr>
          <w:rFonts w:hint="eastAsia" w:ascii="宋体" w:hAnsi="宋体" w:cs="宋体"/>
          <w:b/>
          <w:color w:val="auto"/>
          <w:sz w:val="24"/>
          <w:highlight w:val="none"/>
        </w:rPr>
        <w:t>31.合同公告</w:t>
      </w:r>
    </w:p>
    <w:p w14:paraId="4AB1F7E1">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本项目不公告合同。</w:t>
      </w:r>
    </w:p>
    <w:p w14:paraId="68AA2AAA">
      <w:pPr>
        <w:adjustRightInd w:val="0"/>
        <w:snapToGrid w:val="0"/>
        <w:spacing w:line="360" w:lineRule="auto"/>
        <w:ind w:firstLine="361" w:firstLineChars="150"/>
        <w:jc w:val="left"/>
        <w:rPr>
          <w:rFonts w:hint="eastAsia" w:ascii="宋体" w:hAnsi="宋体" w:cs="宋体"/>
          <w:color w:val="auto"/>
          <w:sz w:val="24"/>
          <w:highlight w:val="none"/>
        </w:rPr>
      </w:pPr>
      <w:r>
        <w:rPr>
          <w:rFonts w:hint="eastAsia" w:ascii="宋体" w:hAnsi="宋体" w:cs="宋体"/>
          <w:b/>
          <w:color w:val="auto"/>
          <w:sz w:val="24"/>
          <w:highlight w:val="none"/>
        </w:rPr>
        <w:t>32.履行合同</w:t>
      </w:r>
    </w:p>
    <w:p w14:paraId="664AB2FE">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.1成交供应商与采购人签订合同后，合同双方应严格执行合同条款，履行合同规定的义务，保证合同的顺利完成。</w:t>
      </w:r>
    </w:p>
    <w:p w14:paraId="7A192C4A">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.2在合同履行过程中，如发生合同纠纷，合同双方应按照《中华人民共和国民法典》的有关规定进行处理。</w:t>
      </w:r>
    </w:p>
    <w:p w14:paraId="28DE4E20">
      <w:pPr>
        <w:adjustRightInd w:val="0"/>
        <w:snapToGrid w:val="0"/>
        <w:spacing w:line="360" w:lineRule="auto"/>
        <w:ind w:firstLine="361" w:firstLineChars="150"/>
        <w:jc w:val="left"/>
        <w:rPr>
          <w:rFonts w:hint="eastAsia" w:ascii="宋体" w:hAnsi="宋体" w:cs="宋体"/>
          <w:color w:val="auto"/>
          <w:sz w:val="24"/>
          <w:highlight w:val="none"/>
        </w:rPr>
      </w:pPr>
      <w:r>
        <w:rPr>
          <w:rFonts w:hint="eastAsia" w:ascii="宋体" w:hAnsi="宋体" w:cs="宋体"/>
          <w:b/>
          <w:color w:val="auto"/>
          <w:sz w:val="24"/>
          <w:highlight w:val="none"/>
        </w:rPr>
        <w:t>33.验收</w:t>
      </w:r>
    </w:p>
    <w:p w14:paraId="5165CDB0">
      <w:pPr>
        <w:adjustRightInd w:val="0"/>
        <w:snapToGrid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.1采购人或者采购代理机构应当按照政府采购合同规定的技术、服务、安全标准组织对供应商履约情况进行验收，并出具验收书。验收书应当包括每一项技术、服务、安全标准的履约情况。</w:t>
      </w:r>
    </w:p>
    <w:p w14:paraId="46D628E1">
      <w:pPr>
        <w:adjustRightInd w:val="0"/>
        <w:snapToGrid w:val="0"/>
        <w:spacing w:line="360" w:lineRule="auto"/>
        <w:ind w:firstLine="361" w:firstLineChars="150"/>
        <w:jc w:val="left"/>
        <w:rPr>
          <w:rFonts w:hint="eastAsia" w:ascii="宋体" w:hAnsi="宋体" w:cs="宋体"/>
          <w:b/>
          <w:color w:val="auto"/>
          <w:sz w:val="24"/>
          <w:highlight w:val="none"/>
        </w:rPr>
      </w:pPr>
      <w:r>
        <w:rPr>
          <w:rFonts w:hint="eastAsia" w:ascii="宋体" w:hAnsi="宋体" w:cs="宋体"/>
          <w:b/>
          <w:color w:val="auto"/>
          <w:sz w:val="24"/>
          <w:highlight w:val="none"/>
        </w:rPr>
        <w:t>34.资金支付</w:t>
      </w:r>
      <w:bookmarkStart w:id="38" w:name="_Toc23501"/>
      <w:bookmarkStart w:id="39" w:name="_Toc32065"/>
    </w:p>
    <w:p w14:paraId="5750BA40">
      <w:pPr>
        <w:adjustRightInd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采购人将按照政府采购合同规定，及时向成交供应商支付采购资金。</w:t>
      </w:r>
    </w:p>
    <w:p w14:paraId="29345AC7">
      <w:pPr>
        <w:pStyle w:val="11"/>
        <w:rPr>
          <w:rFonts w:hint="eastAsia"/>
          <w:color w:val="auto"/>
          <w:highlight w:val="none"/>
        </w:rPr>
      </w:pPr>
    </w:p>
    <w:p w14:paraId="709A244D">
      <w:pPr>
        <w:adjustRightInd w:val="0"/>
        <w:snapToGrid w:val="0"/>
        <w:spacing w:line="360" w:lineRule="auto"/>
        <w:ind w:firstLine="361" w:firstLineChars="150"/>
        <w:jc w:val="center"/>
        <w:rPr>
          <w:rFonts w:hint="eastAsia" w:ascii="宋体" w:hAnsi="宋体" w:cs="宋体"/>
          <w:b/>
          <w:color w:val="auto"/>
          <w:sz w:val="24"/>
          <w:highlight w:val="none"/>
        </w:rPr>
      </w:pPr>
      <w:r>
        <w:rPr>
          <w:rFonts w:hint="eastAsia" w:ascii="宋体" w:hAnsi="宋体" w:cs="宋体"/>
          <w:b/>
          <w:color w:val="auto"/>
          <w:sz w:val="24"/>
          <w:highlight w:val="none"/>
        </w:rPr>
        <w:t>八、磋商纪律要求</w:t>
      </w:r>
      <w:bookmarkEnd w:id="38"/>
      <w:bookmarkEnd w:id="39"/>
    </w:p>
    <w:p w14:paraId="585DA389">
      <w:pPr>
        <w:tabs>
          <w:tab w:val="left" w:pos="851"/>
        </w:tabs>
        <w:adjustRightInd w:val="0"/>
        <w:snapToGrid w:val="0"/>
        <w:spacing w:line="360" w:lineRule="auto"/>
        <w:ind w:firstLine="361" w:firstLineChars="150"/>
        <w:jc w:val="left"/>
        <w:rPr>
          <w:rFonts w:hint="eastAsia" w:ascii="宋体" w:hAnsi="宋体" w:cs="宋体"/>
          <w:color w:val="auto"/>
          <w:sz w:val="24"/>
          <w:highlight w:val="none"/>
        </w:rPr>
      </w:pPr>
      <w:r>
        <w:rPr>
          <w:rFonts w:hint="eastAsia" w:ascii="宋体" w:hAnsi="宋体" w:cs="宋体"/>
          <w:b/>
          <w:color w:val="auto"/>
          <w:sz w:val="24"/>
          <w:highlight w:val="none"/>
        </w:rPr>
        <w:t>35.供应商不得具有的情形</w:t>
      </w:r>
    </w:p>
    <w:p w14:paraId="441EBA80">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360" w:firstLineChars="15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供应商参加本项目磋商不得有下列情形：</w:t>
      </w:r>
    </w:p>
    <w:p w14:paraId="1B07B9AB">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360" w:firstLineChars="15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(1)提供虚假材料谋取成交；</w:t>
      </w:r>
    </w:p>
    <w:p w14:paraId="1095E744">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360" w:firstLineChars="15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(2)采取不正当手段诋毁、排挤其他供应商；</w:t>
      </w:r>
    </w:p>
    <w:p w14:paraId="5F991E03">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360" w:firstLineChars="150"/>
        <w:jc w:val="left"/>
        <w:textAlignment w:val="auto"/>
        <w:rPr>
          <w:rFonts w:hint="eastAsia" w:ascii="宋体" w:hAnsi="宋体" w:cs="宋体"/>
          <w:color w:val="auto"/>
          <w:sz w:val="24"/>
          <w:highlight w:val="none"/>
        </w:rPr>
      </w:pPr>
      <w:r>
        <w:rPr>
          <w:rFonts w:hint="eastAsia" w:ascii="宋体" w:hAnsi="宋体" w:cs="宋体"/>
          <w:color w:val="auto"/>
          <w:sz w:val="24"/>
          <w:highlight w:val="none"/>
        </w:rPr>
        <w:t>(3)与采购人、采购代理机构、或其他供应商恶意串通；</w:t>
      </w:r>
    </w:p>
    <w:p w14:paraId="0144601B">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360" w:firstLineChars="150"/>
        <w:jc w:val="left"/>
        <w:textAlignment w:val="auto"/>
        <w:rPr>
          <w:rFonts w:hint="eastAsia" w:ascii="宋体" w:hAnsi="宋体" w:cs="宋体"/>
          <w:color w:val="auto"/>
          <w:sz w:val="24"/>
          <w:highlight w:val="none"/>
        </w:rPr>
      </w:pPr>
      <w:r>
        <w:rPr>
          <w:rFonts w:hint="eastAsia" w:ascii="宋体" w:hAnsi="宋体" w:cs="宋体"/>
          <w:color w:val="auto"/>
          <w:sz w:val="24"/>
          <w:highlight w:val="none"/>
        </w:rPr>
        <w:t>(4)向采购人、采购代理机构、磋商小组成员行贿或者提供其他不正当利益；</w:t>
      </w:r>
    </w:p>
    <w:p w14:paraId="595E0B8F">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360" w:firstLineChars="150"/>
        <w:jc w:val="left"/>
        <w:textAlignment w:val="auto"/>
        <w:rPr>
          <w:rFonts w:hint="eastAsia" w:ascii="宋体" w:hAnsi="宋体" w:cs="宋体"/>
          <w:color w:val="auto"/>
          <w:sz w:val="24"/>
          <w:highlight w:val="none"/>
        </w:rPr>
      </w:pPr>
      <w:r>
        <w:rPr>
          <w:rFonts w:hint="eastAsia" w:ascii="宋体" w:hAnsi="宋体" w:cs="宋体"/>
          <w:color w:val="auto"/>
          <w:sz w:val="24"/>
          <w:highlight w:val="none"/>
        </w:rPr>
        <w:t>(5)在磋商过程中与采购人、采购代理机构进行协商；</w:t>
      </w:r>
    </w:p>
    <w:p w14:paraId="61345C52">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360" w:firstLineChars="150"/>
        <w:jc w:val="left"/>
        <w:textAlignment w:val="auto"/>
        <w:rPr>
          <w:rFonts w:hint="eastAsia" w:ascii="宋体" w:hAnsi="宋体" w:cs="宋体"/>
          <w:color w:val="auto"/>
          <w:sz w:val="24"/>
          <w:highlight w:val="none"/>
        </w:rPr>
      </w:pPr>
      <w:r>
        <w:rPr>
          <w:rFonts w:hint="eastAsia" w:ascii="宋体" w:hAnsi="宋体" w:cs="宋体"/>
          <w:color w:val="auto"/>
          <w:sz w:val="24"/>
          <w:highlight w:val="none"/>
        </w:rPr>
        <w:t>(6)成交后无正当理由拒不与采购人签订政府采购合同；</w:t>
      </w:r>
    </w:p>
    <w:p w14:paraId="7C851E88">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360" w:firstLineChars="150"/>
        <w:jc w:val="left"/>
        <w:textAlignment w:val="auto"/>
        <w:rPr>
          <w:rFonts w:hint="eastAsia" w:ascii="宋体" w:hAnsi="宋体" w:cs="宋体"/>
          <w:color w:val="auto"/>
          <w:sz w:val="24"/>
          <w:highlight w:val="none"/>
        </w:rPr>
      </w:pPr>
      <w:r>
        <w:rPr>
          <w:rFonts w:hint="eastAsia" w:ascii="宋体" w:hAnsi="宋体" w:cs="宋体"/>
          <w:color w:val="auto"/>
          <w:sz w:val="24"/>
          <w:highlight w:val="none"/>
        </w:rPr>
        <w:t>(7)未按照磋商文件确定的事项签订政府采购合同；</w:t>
      </w:r>
    </w:p>
    <w:p w14:paraId="0A139124">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360" w:firstLineChars="150"/>
        <w:jc w:val="left"/>
        <w:textAlignment w:val="auto"/>
        <w:rPr>
          <w:rFonts w:hint="eastAsia" w:ascii="宋体" w:hAnsi="宋体" w:cs="宋体"/>
          <w:color w:val="auto"/>
          <w:sz w:val="24"/>
          <w:highlight w:val="none"/>
        </w:rPr>
      </w:pPr>
      <w:r>
        <w:rPr>
          <w:rFonts w:hint="eastAsia" w:ascii="宋体" w:hAnsi="宋体" w:cs="宋体"/>
          <w:color w:val="auto"/>
          <w:sz w:val="24"/>
          <w:highlight w:val="none"/>
        </w:rPr>
        <w:t>(8)将政府采购合同转包或者违规分包；</w:t>
      </w:r>
    </w:p>
    <w:p w14:paraId="2BB68C0E">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360" w:firstLineChars="150"/>
        <w:jc w:val="left"/>
        <w:textAlignment w:val="auto"/>
        <w:rPr>
          <w:rFonts w:hint="eastAsia" w:ascii="宋体" w:hAnsi="宋体" w:cs="宋体"/>
          <w:color w:val="auto"/>
          <w:sz w:val="24"/>
          <w:highlight w:val="none"/>
        </w:rPr>
      </w:pPr>
      <w:r>
        <w:rPr>
          <w:rFonts w:hint="eastAsia" w:ascii="宋体" w:hAnsi="宋体" w:cs="宋体"/>
          <w:color w:val="auto"/>
          <w:sz w:val="24"/>
          <w:highlight w:val="none"/>
        </w:rPr>
        <w:t>(9)提供假冒伪劣产品；</w:t>
      </w:r>
    </w:p>
    <w:p w14:paraId="5E679696">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360" w:firstLineChars="15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(10)擅自变更、中止或者终止政府采购合同；</w:t>
      </w:r>
    </w:p>
    <w:p w14:paraId="0CA1FEB7">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360" w:firstLineChars="15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(11)拒绝有关部门的监督检查或者向监督检查部门提供虚假情况；</w:t>
      </w:r>
    </w:p>
    <w:p w14:paraId="520C7D90">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360" w:firstLineChars="15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(12)法律法规规定的其他情形。</w:t>
      </w:r>
    </w:p>
    <w:p w14:paraId="2EC829BA">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360" w:firstLineChars="15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供应商有上述情形的，按照规定追究法律责任，具备(1)-(10)条情形之一的，同时将取消被确认为成交供应商的资格或者认定成交无效。</w:t>
      </w:r>
    </w:p>
    <w:p w14:paraId="12250397">
      <w:pPr>
        <w:pStyle w:val="11"/>
        <w:rPr>
          <w:rFonts w:hint="eastAsia"/>
          <w:color w:val="auto"/>
          <w:highlight w:val="none"/>
        </w:rPr>
      </w:pPr>
    </w:p>
    <w:p w14:paraId="75A9A050">
      <w:pPr>
        <w:adjustRightInd w:val="0"/>
        <w:snapToGrid w:val="0"/>
        <w:spacing w:line="360" w:lineRule="auto"/>
        <w:ind w:firstLine="361" w:firstLineChars="150"/>
        <w:jc w:val="center"/>
        <w:rPr>
          <w:rFonts w:hint="eastAsia" w:ascii="宋体" w:hAnsi="宋体" w:cs="宋体"/>
          <w:b/>
          <w:color w:val="auto"/>
          <w:sz w:val="24"/>
          <w:highlight w:val="none"/>
        </w:rPr>
      </w:pPr>
      <w:bookmarkStart w:id="40" w:name="_Toc8513"/>
      <w:bookmarkStart w:id="41" w:name="_Toc30573"/>
      <w:r>
        <w:rPr>
          <w:rFonts w:hint="eastAsia" w:ascii="宋体" w:hAnsi="宋体" w:cs="宋体"/>
          <w:b/>
          <w:color w:val="auto"/>
          <w:sz w:val="24"/>
          <w:highlight w:val="none"/>
        </w:rPr>
        <w:t>九、询问、质疑和投诉</w:t>
      </w:r>
      <w:bookmarkEnd w:id="40"/>
      <w:bookmarkEnd w:id="41"/>
    </w:p>
    <w:p w14:paraId="20235CEC">
      <w:pPr>
        <w:tabs>
          <w:tab w:val="left" w:pos="851"/>
        </w:tabs>
        <w:adjustRightInd w:val="0"/>
        <w:snapToGrid w:val="0"/>
        <w:spacing w:line="360" w:lineRule="auto"/>
        <w:ind w:firstLine="360" w:firstLineChars="150"/>
        <w:jc w:val="left"/>
        <w:rPr>
          <w:rFonts w:hint="eastAsia" w:hAnsi="宋体"/>
          <w:color w:val="auto"/>
          <w:sz w:val="24"/>
          <w:highlight w:val="none"/>
        </w:rPr>
      </w:pPr>
      <w:r>
        <w:rPr>
          <w:rFonts w:hint="eastAsia" w:ascii="宋体" w:hAnsi="宋体" w:cs="宋体"/>
          <w:color w:val="auto"/>
          <w:sz w:val="24"/>
          <w:highlight w:val="none"/>
        </w:rPr>
        <w:t>36.</w:t>
      </w:r>
      <w:r>
        <w:rPr>
          <w:rFonts w:hint="eastAsia" w:ascii="宋体" w:hAnsi="宋体"/>
          <w:color w:val="auto"/>
          <w:sz w:val="24"/>
          <w:highlight w:val="none"/>
        </w:rPr>
        <w:t>询问、质</w:t>
      </w:r>
      <w:r>
        <w:rPr>
          <w:rFonts w:hint="eastAsia" w:hAnsi="宋体"/>
          <w:color w:val="auto"/>
          <w:sz w:val="24"/>
          <w:highlight w:val="none"/>
        </w:rPr>
        <w:t>疑、投诉的接收和处理严格按照《中华人共和国政府采购法》、《中华人民共和国政府采购法实施条例》、《财政部关于加强政府采购供应商投诉受理审查工作的通知》和四川省的有关规定办理（详细规定请在四川政府采购网政策法规模块查询）。</w:t>
      </w:r>
    </w:p>
    <w:p w14:paraId="7F6D2CED">
      <w:pPr>
        <w:pStyle w:val="11"/>
        <w:rPr>
          <w:rFonts w:hint="eastAsia"/>
          <w:color w:val="auto"/>
          <w:highlight w:val="none"/>
        </w:rPr>
      </w:pPr>
    </w:p>
    <w:p w14:paraId="20C784A0">
      <w:pPr>
        <w:adjustRightInd w:val="0"/>
        <w:snapToGrid w:val="0"/>
        <w:spacing w:line="360" w:lineRule="auto"/>
        <w:ind w:firstLine="361" w:firstLineChars="150"/>
        <w:jc w:val="center"/>
        <w:rPr>
          <w:rFonts w:hint="eastAsia" w:ascii="宋体" w:hAnsi="宋体" w:cs="宋体"/>
          <w:b/>
          <w:color w:val="auto"/>
          <w:sz w:val="24"/>
          <w:highlight w:val="none"/>
        </w:rPr>
      </w:pPr>
      <w:bookmarkStart w:id="42" w:name="_Toc863"/>
      <w:bookmarkStart w:id="43" w:name="_Toc27009"/>
      <w:r>
        <w:rPr>
          <w:rFonts w:hint="eastAsia" w:ascii="宋体" w:hAnsi="宋体" w:cs="宋体"/>
          <w:b/>
          <w:color w:val="auto"/>
          <w:sz w:val="24"/>
          <w:highlight w:val="none"/>
        </w:rPr>
        <w:t>十、其他</w:t>
      </w:r>
      <w:bookmarkEnd w:id="42"/>
      <w:bookmarkEnd w:id="43"/>
    </w:p>
    <w:p w14:paraId="74DB8ADF">
      <w:pPr>
        <w:tabs>
          <w:tab w:val="left" w:pos="851"/>
        </w:tabs>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37.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14:paraId="3395E70F">
      <w:pPr>
        <w:pStyle w:val="11"/>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auto"/>
          <w:highlight w:val="none"/>
        </w:rPr>
      </w:pPr>
      <w:r>
        <w:rPr>
          <w:rFonts w:hint="eastAsia" w:ascii="宋体" w:hAnsi="宋体"/>
          <w:color w:val="auto"/>
          <w:sz w:val="24"/>
          <w:highlight w:val="none"/>
          <w:lang w:val="en-US" w:eastAsia="zh-CN"/>
        </w:rPr>
        <w:t>38.（实质性要求）国家或行业主管部门对供应商和采购产品的技术标准、质量标准和资格资质条件等有强制性规定的，必须符合其要求。</w:t>
      </w:r>
    </w:p>
    <w:p w14:paraId="6FE99736">
      <w:pPr>
        <w:adjustRightInd w:val="0"/>
        <w:snapToGrid w:val="0"/>
        <w:spacing w:line="360" w:lineRule="auto"/>
        <w:ind w:firstLine="315" w:firstLineChars="150"/>
        <w:jc w:val="center"/>
        <w:outlineLvl w:val="0"/>
        <w:rPr>
          <w:rFonts w:hint="eastAsia" w:ascii="宋体" w:hAnsi="宋体" w:cs="宋体"/>
          <w:color w:val="auto"/>
          <w:sz w:val="32"/>
          <w:szCs w:val="32"/>
          <w:highlight w:val="none"/>
        </w:rPr>
      </w:pPr>
      <w:r>
        <w:rPr>
          <w:rFonts w:hint="eastAsia" w:ascii="宋体" w:hAnsi="宋体" w:cs="宋体"/>
          <w:color w:val="auto"/>
          <w:highlight w:val="none"/>
        </w:rPr>
        <w:br w:type="page"/>
      </w:r>
      <w:bookmarkStart w:id="44" w:name="_Toc2808"/>
      <w:bookmarkStart w:id="45" w:name="_Toc20124"/>
      <w:bookmarkStart w:id="46" w:name="_Toc302928387"/>
      <w:bookmarkStart w:id="47" w:name="_Toc12355"/>
      <w:bookmarkStart w:id="48" w:name="_Toc8815"/>
      <w:bookmarkStart w:id="49" w:name="_Toc14979"/>
      <w:bookmarkStart w:id="50" w:name="_Toc32281"/>
      <w:bookmarkStart w:id="51" w:name="_Toc28833"/>
      <w:bookmarkStart w:id="52" w:name="_Toc16800"/>
      <w:r>
        <w:rPr>
          <w:rFonts w:hint="eastAsia" w:ascii="宋体" w:hAnsi="宋体" w:cs="宋体"/>
          <w:b/>
          <w:color w:val="auto"/>
          <w:sz w:val="32"/>
          <w:szCs w:val="32"/>
          <w:highlight w:val="none"/>
        </w:rPr>
        <w:t>第三章  供应商资格条件要求</w:t>
      </w:r>
      <w:bookmarkEnd w:id="44"/>
      <w:bookmarkEnd w:id="45"/>
      <w:bookmarkEnd w:id="46"/>
      <w:bookmarkEnd w:id="47"/>
      <w:bookmarkEnd w:id="48"/>
      <w:bookmarkEnd w:id="49"/>
      <w:bookmarkEnd w:id="50"/>
      <w:bookmarkEnd w:id="51"/>
      <w:bookmarkEnd w:id="52"/>
    </w:p>
    <w:p w14:paraId="320493DB">
      <w:pPr>
        <w:adjustRightInd w:val="0"/>
        <w:snapToGrid w:val="0"/>
        <w:spacing w:line="360" w:lineRule="auto"/>
        <w:ind w:firstLine="482" w:firstLineChars="200"/>
        <w:jc w:val="left"/>
        <w:rPr>
          <w:rFonts w:hint="eastAsia" w:ascii="宋体" w:hAnsi="宋体" w:cs="宋体"/>
          <w:b/>
          <w:color w:val="auto"/>
          <w:sz w:val="24"/>
          <w:highlight w:val="none"/>
          <w:lang w:val="zh-CN"/>
        </w:rPr>
      </w:pPr>
      <w:r>
        <w:rPr>
          <w:rFonts w:hint="eastAsia" w:ascii="宋体" w:hAnsi="宋体" w:cs="宋体"/>
          <w:b/>
          <w:color w:val="auto"/>
          <w:sz w:val="24"/>
          <w:highlight w:val="none"/>
          <w:lang w:val="zh-CN"/>
        </w:rPr>
        <w:t>一、资格要求</w:t>
      </w:r>
    </w:p>
    <w:p w14:paraId="06561B16">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1.符合《中华人民共和国政府采购法》第二十二条规定的供应商资格条件：</w:t>
      </w:r>
    </w:p>
    <w:p w14:paraId="6A612C08">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272A4666">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19DE6C40">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B658051">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B4FF7EA">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（5）参加政府采购活动前三年内，在经营活动中没有违法记录；</w:t>
      </w:r>
    </w:p>
    <w:p w14:paraId="73D4EBFC">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40149C2E">
      <w:pPr>
        <w:overflowPunct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.本项目是否接受联合体投标：</w:t>
      </w:r>
      <w:r>
        <w:rPr>
          <w:rFonts w:hint="eastAsia" w:ascii="宋体" w:hAnsi="宋体" w:cs="宋体"/>
          <w:bCs/>
          <w:color w:val="auto"/>
          <w:sz w:val="24"/>
          <w:highlight w:val="none"/>
        </w:rPr>
        <w:sym w:font="Wingdings" w:char="00A8"/>
      </w:r>
      <w:r>
        <w:rPr>
          <w:rFonts w:hint="eastAsia" w:ascii="宋体" w:hAnsi="宋体" w:cs="宋体"/>
          <w:bCs/>
          <w:color w:val="auto"/>
          <w:sz w:val="24"/>
          <w:highlight w:val="none"/>
        </w:rPr>
        <w:t>是</w:t>
      </w:r>
      <w:r>
        <w:rPr>
          <w:rFonts w:hint="eastAsia" w:ascii="宋体" w:hAnsi="宋体" w:cs="宋体"/>
          <w:bCs/>
          <w:color w:val="auto"/>
          <w:sz w:val="24"/>
          <w:highlight w:val="none"/>
        </w:rPr>
        <w:sym w:font="Wingdings" w:char="00FE"/>
      </w:r>
      <w:r>
        <w:rPr>
          <w:rFonts w:hint="eastAsia" w:ascii="宋体" w:hAnsi="宋体" w:cs="宋体"/>
          <w:bCs/>
          <w:color w:val="auto"/>
          <w:sz w:val="24"/>
          <w:highlight w:val="none"/>
        </w:rPr>
        <w:t>否；</w:t>
      </w:r>
    </w:p>
    <w:p w14:paraId="514D30C4">
      <w:pPr>
        <w:spacing w:after="156" w:afterLines="5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.本项目是否专门面对中小企业：</w:t>
      </w:r>
      <w:r>
        <w:rPr>
          <w:rFonts w:hint="eastAsia" w:ascii="宋体" w:hAnsi="宋体" w:cs="宋体"/>
          <w:bCs/>
          <w:color w:val="auto"/>
          <w:sz w:val="24"/>
          <w:highlight w:val="none"/>
        </w:rPr>
        <w:sym w:font="Wingdings" w:char="00A8"/>
      </w:r>
      <w:r>
        <w:rPr>
          <w:rFonts w:hint="eastAsia" w:ascii="宋体" w:hAnsi="宋体" w:cs="宋体"/>
          <w:bCs/>
          <w:color w:val="auto"/>
          <w:sz w:val="24"/>
          <w:highlight w:val="none"/>
        </w:rPr>
        <w:t>是</w:t>
      </w:r>
      <w:r>
        <w:rPr>
          <w:rFonts w:hint="eastAsia" w:ascii="宋体" w:hAnsi="宋体" w:cs="宋体"/>
          <w:bCs/>
          <w:color w:val="auto"/>
          <w:sz w:val="24"/>
          <w:highlight w:val="none"/>
        </w:rPr>
        <w:sym w:font="Wingdings" w:char="00FE"/>
      </w:r>
      <w:r>
        <w:rPr>
          <w:rFonts w:hint="eastAsia" w:ascii="宋体" w:hAnsi="宋体" w:cs="宋体"/>
          <w:bCs/>
          <w:color w:val="auto"/>
          <w:sz w:val="24"/>
          <w:highlight w:val="none"/>
        </w:rPr>
        <w:t>否；</w:t>
      </w:r>
    </w:p>
    <w:p w14:paraId="158F086D">
      <w:pPr>
        <w:adjustRightInd w:val="0"/>
        <w:snapToGrid w:val="0"/>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响应供应商须未被列入“信用中国”网站(www.creditchina.gov.cn)以下记录名单：①失信被执行人；②重大税收违法案件当事人名单；③政府采购严重违法失信行为。同时，不处于中国政府采购网(www.ccgp.gov.cn)“政府采购严重违法失信行为信息记录”中的禁止参加政府采购活动期间</w:t>
      </w:r>
      <w:r>
        <w:rPr>
          <w:rFonts w:hint="eastAsia" w:ascii="宋体" w:hAnsi="宋体" w:eastAsia="宋体" w:cs="宋体"/>
          <w:color w:val="auto"/>
          <w:sz w:val="24"/>
          <w:highlight w:val="none"/>
          <w:lang w:eastAsia="zh-CN"/>
        </w:rPr>
        <w:t>；</w:t>
      </w:r>
    </w:p>
    <w:p w14:paraId="4B43277A">
      <w:pPr>
        <w:pStyle w:val="2"/>
        <w:rPr>
          <w:rFonts w:hint="eastAsia"/>
          <w:lang w:val="en-US" w:eastAsia="zh-CN"/>
        </w:rPr>
      </w:pPr>
    </w:p>
    <w:p w14:paraId="0FEA4753">
      <w:pPr>
        <w:spacing w:line="360" w:lineRule="auto"/>
        <w:ind w:firstLine="361" w:firstLineChars="150"/>
        <w:jc w:val="left"/>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rPr>
        <w:t>注：</w:t>
      </w:r>
      <w:r>
        <w:rPr>
          <w:rFonts w:hint="eastAsia" w:ascii="宋体" w:hAnsi="宋体" w:eastAsia="宋体" w:cs="Times New Roman"/>
          <w:b/>
          <w:bCs/>
          <w:color w:val="auto"/>
          <w:sz w:val="24"/>
          <w:highlight w:val="none"/>
          <w:lang w:val="en-US" w:eastAsia="zh-CN"/>
        </w:rPr>
        <w:t>1.《</w:t>
      </w:r>
      <w:r>
        <w:rPr>
          <w:rFonts w:hint="eastAsia" w:ascii="宋体" w:hAnsi="宋体" w:eastAsia="宋体" w:cs="Times New Roman"/>
          <w:b/>
          <w:bCs/>
          <w:color w:val="auto"/>
          <w:sz w:val="24"/>
          <w:highlight w:val="none"/>
        </w:rPr>
        <w:t>财政部关于</w:t>
      </w:r>
      <w:r>
        <w:rPr>
          <w:rFonts w:hint="eastAsia" w:ascii="宋体" w:hAnsi="宋体" w:eastAsia="宋体" w:cs="Times New Roman"/>
          <w:b/>
          <w:bCs/>
          <w:color w:val="auto"/>
          <w:sz w:val="24"/>
          <w:highlight w:val="none"/>
          <w:lang w:val="en-US" w:eastAsia="zh-CN"/>
        </w:rPr>
        <w:t>&lt;</w:t>
      </w:r>
      <w:r>
        <w:rPr>
          <w:rFonts w:hint="eastAsia" w:ascii="宋体" w:hAnsi="宋体" w:eastAsia="宋体" w:cs="Times New Roman"/>
          <w:b/>
          <w:bCs/>
          <w:color w:val="auto"/>
          <w:sz w:val="24"/>
          <w:highlight w:val="none"/>
        </w:rPr>
        <w:t>中华人民共和国政府采购法实施条例</w:t>
      </w:r>
      <w:r>
        <w:rPr>
          <w:rFonts w:hint="eastAsia" w:ascii="宋体" w:hAnsi="宋体" w:eastAsia="宋体" w:cs="Times New Roman"/>
          <w:b/>
          <w:bCs/>
          <w:color w:val="auto"/>
          <w:sz w:val="24"/>
          <w:highlight w:val="none"/>
          <w:lang w:val="en-US" w:eastAsia="zh-CN"/>
        </w:rPr>
        <w:t>&gt;</w:t>
      </w:r>
      <w:r>
        <w:rPr>
          <w:rFonts w:hint="eastAsia" w:ascii="宋体" w:hAnsi="宋体" w:eastAsia="宋体" w:cs="Times New Roman"/>
          <w:b/>
          <w:bCs/>
          <w:color w:val="auto"/>
          <w:sz w:val="24"/>
          <w:highlight w:val="none"/>
        </w:rPr>
        <w:t>第十九条第一款 “较大数额罚款”具体适用问题的意见</w:t>
      </w:r>
      <w:r>
        <w:rPr>
          <w:rFonts w:hint="eastAsia" w:ascii="宋体" w:hAnsi="宋体" w:eastAsia="宋体" w:cs="Times New Roman"/>
          <w:b/>
          <w:bCs/>
          <w:color w:val="auto"/>
          <w:sz w:val="24"/>
          <w:highlight w:val="none"/>
          <w:lang w:eastAsia="zh-CN"/>
        </w:rPr>
        <w:t>》</w:t>
      </w:r>
      <w:r>
        <w:rPr>
          <w:rFonts w:hint="eastAsia" w:ascii="宋体" w:hAnsi="宋体" w:eastAsia="宋体" w:cs="Times New Roman"/>
          <w:b/>
          <w:bCs/>
          <w:color w:val="auto"/>
          <w:sz w:val="24"/>
          <w:highlight w:val="none"/>
        </w:rPr>
        <w:t>财库〔2022〕3号</w:t>
      </w:r>
      <w:r>
        <w:rPr>
          <w:rFonts w:hint="eastAsia" w:ascii="宋体" w:hAnsi="宋体" w:eastAsia="宋体" w:cs="Times New Roman"/>
          <w:b/>
          <w:bCs/>
          <w:color w:val="auto"/>
          <w:sz w:val="24"/>
          <w:highlight w:val="none"/>
          <w:lang w:val="en-US" w:eastAsia="zh-CN"/>
        </w:rPr>
        <w:t>规定：</w:t>
      </w:r>
      <w:r>
        <w:rPr>
          <w:rFonts w:hint="eastAsia" w:ascii="宋体" w:hAnsi="宋体" w:eastAsia="宋体" w:cs="Times New Roman"/>
          <w:b/>
          <w:bCs/>
          <w:color w:val="auto"/>
          <w:sz w:val="24"/>
          <w:highlight w:val="none"/>
        </w:rPr>
        <w:t>《中华人民共和国政府采购法实施条例》第十九条第一款规定的“较大数额罚款”认定为200万元以上的罚款，法律、行政法规以及国务院有关部门明确规定相关领域“较大数额罚款”标准高于200万元的，从其规定。</w:t>
      </w:r>
    </w:p>
    <w:p w14:paraId="7A88070F">
      <w:pPr>
        <w:widowControl/>
        <w:adjustRightInd w:val="0"/>
        <w:snapToGrid w:val="0"/>
        <w:spacing w:line="360" w:lineRule="auto"/>
        <w:ind w:firstLine="270" w:firstLineChars="150"/>
        <w:jc w:val="center"/>
        <w:outlineLvl w:val="0"/>
        <w:rPr>
          <w:rFonts w:hint="eastAsia" w:ascii="宋体" w:hAnsi="宋体" w:cs="宋体"/>
          <w:color w:val="auto"/>
          <w:sz w:val="32"/>
          <w:szCs w:val="32"/>
          <w:highlight w:val="none"/>
        </w:rPr>
      </w:pPr>
      <w:r>
        <w:rPr>
          <w:rFonts w:hint="eastAsia" w:ascii="宋体" w:hAnsi="宋体" w:cs="宋体"/>
          <w:color w:val="auto"/>
          <w:sz w:val="18"/>
          <w:szCs w:val="18"/>
          <w:highlight w:val="none"/>
        </w:rPr>
        <w:br w:type="page"/>
      </w:r>
      <w:bookmarkStart w:id="53" w:name="_Toc7846"/>
      <w:bookmarkStart w:id="54" w:name="_Toc18951"/>
      <w:bookmarkStart w:id="55" w:name="_Toc4715"/>
      <w:bookmarkStart w:id="56" w:name="_Toc1663508522"/>
      <w:bookmarkStart w:id="57" w:name="_Toc14968"/>
      <w:bookmarkStart w:id="58" w:name="_Toc24927"/>
      <w:bookmarkStart w:id="59" w:name="_Toc30552"/>
      <w:bookmarkStart w:id="60" w:name="_Toc31799"/>
      <w:r>
        <w:rPr>
          <w:rFonts w:hint="eastAsia" w:ascii="宋体" w:hAnsi="宋体" w:cs="宋体"/>
          <w:b/>
          <w:color w:val="auto"/>
          <w:sz w:val="32"/>
          <w:szCs w:val="32"/>
          <w:highlight w:val="none"/>
        </w:rPr>
        <w:t>第四章  供应商资格证明材料</w:t>
      </w:r>
      <w:bookmarkEnd w:id="53"/>
      <w:bookmarkEnd w:id="54"/>
      <w:bookmarkEnd w:id="55"/>
      <w:bookmarkEnd w:id="56"/>
      <w:bookmarkEnd w:id="57"/>
      <w:bookmarkEnd w:id="58"/>
      <w:bookmarkEnd w:id="59"/>
      <w:bookmarkEnd w:id="60"/>
    </w:p>
    <w:p w14:paraId="23121429">
      <w:pPr>
        <w:adjustRightInd w:val="0"/>
        <w:snapToGrid w:val="0"/>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一、资格证明材料</w:t>
      </w:r>
    </w:p>
    <w:p w14:paraId="7E294989">
      <w:pPr>
        <w:pStyle w:val="76"/>
        <w:spacing w:line="360" w:lineRule="auto"/>
        <w:ind w:firstLine="480" w:firstLineChars="200"/>
        <w:rPr>
          <w:rFonts w:hint="eastAsia" w:ascii="宋体" w:hAnsi="宋体" w:eastAsia="宋体" w:cs="宋体"/>
          <w:color w:val="auto"/>
          <w:sz w:val="24"/>
          <w:szCs w:val="24"/>
          <w:highlight w:val="none"/>
          <w:lang w:eastAsia="zh-CN"/>
        </w:rPr>
      </w:pPr>
      <w:bookmarkStart w:id="61" w:name="_Toc12020"/>
      <w:bookmarkStart w:id="62" w:name="_Toc901"/>
      <w:bookmarkStart w:id="63" w:name="_Toc13171"/>
      <w:bookmarkStart w:id="64" w:name="_Toc2001558501"/>
      <w:r>
        <w:rPr>
          <w:rFonts w:hint="eastAsia" w:ascii="宋体" w:hAnsi="宋体" w:cs="宋体"/>
          <w:color w:val="auto"/>
          <w:sz w:val="24"/>
          <w:szCs w:val="24"/>
          <w:highlight w:val="none"/>
        </w:rPr>
        <w:t>1.符合《中华人民共和国政府采购法》第二十二条规定的书面承诺（格式见本磋商文件第八章）</w:t>
      </w:r>
      <w:r>
        <w:rPr>
          <w:rFonts w:hint="eastAsia" w:ascii="宋体" w:hAnsi="宋体" w:cs="宋体"/>
          <w:color w:val="auto"/>
          <w:sz w:val="24"/>
          <w:szCs w:val="24"/>
          <w:highlight w:val="none"/>
          <w:lang w:eastAsia="zh-CN"/>
        </w:rPr>
        <w:t>；</w:t>
      </w:r>
    </w:p>
    <w:p w14:paraId="48D00955">
      <w:pPr>
        <w:pStyle w:val="76"/>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具有独立承担民事责任的能力。（注：①响应人若为企业法人：提供“统一社会信用代码营业执照”；未换证的提供“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明文件”。以上均提供复印件）</w:t>
      </w:r>
      <w:r>
        <w:rPr>
          <w:rFonts w:hint="eastAsia" w:ascii="宋体" w:hAnsi="宋体" w:cs="宋体"/>
          <w:color w:val="auto"/>
          <w:sz w:val="24"/>
          <w:szCs w:val="24"/>
          <w:highlight w:val="none"/>
          <w:lang w:eastAsia="zh-CN"/>
        </w:rPr>
        <w:t>；</w:t>
      </w:r>
    </w:p>
    <w:p w14:paraId="0D73DF52">
      <w:pPr>
        <w:pStyle w:val="76"/>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3.法定代表人授权书原件（委托代理人参加磋商活动的必须提供）</w:t>
      </w:r>
      <w:r>
        <w:rPr>
          <w:rFonts w:hint="eastAsia" w:ascii="宋体" w:hAnsi="宋体" w:cs="宋体"/>
          <w:color w:val="auto"/>
          <w:sz w:val="24"/>
          <w:highlight w:val="none"/>
          <w:lang w:eastAsia="zh-CN"/>
        </w:rPr>
        <w:t>；</w:t>
      </w:r>
    </w:p>
    <w:p w14:paraId="7C37DD85">
      <w:pPr>
        <w:pStyle w:val="76"/>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highlight w:val="none"/>
        </w:rPr>
        <w:t>4.法定代表人和授权</w:t>
      </w:r>
      <w:r>
        <w:rPr>
          <w:rFonts w:hint="eastAsia" w:ascii="宋体" w:hAnsi="宋体" w:cs="宋体"/>
          <w:color w:val="auto"/>
          <w:sz w:val="24"/>
          <w:szCs w:val="24"/>
          <w:highlight w:val="none"/>
        </w:rPr>
        <w:t>代表</w:t>
      </w:r>
      <w:r>
        <w:rPr>
          <w:rFonts w:hint="eastAsia" w:ascii="宋体" w:hAnsi="宋体" w:cs="宋体"/>
          <w:color w:val="auto"/>
          <w:sz w:val="24"/>
          <w:highlight w:val="none"/>
        </w:rPr>
        <w:t>身份证复印件（法定代表人参加磋商活动的，仅需</w:t>
      </w:r>
      <w:r>
        <w:rPr>
          <w:rFonts w:hint="eastAsia" w:ascii="宋体" w:hAnsi="宋体" w:cs="宋体"/>
          <w:color w:val="auto"/>
          <w:sz w:val="24"/>
          <w:szCs w:val="24"/>
          <w:highlight w:val="none"/>
        </w:rPr>
        <w:t>提供本人身份证复印件）</w:t>
      </w:r>
      <w:r>
        <w:rPr>
          <w:rFonts w:hint="eastAsia" w:ascii="宋体" w:hAnsi="宋体" w:cs="宋体"/>
          <w:color w:val="auto"/>
          <w:sz w:val="24"/>
          <w:szCs w:val="24"/>
          <w:highlight w:val="none"/>
          <w:lang w:eastAsia="zh-CN"/>
        </w:rPr>
        <w:t>；</w:t>
      </w:r>
    </w:p>
    <w:p w14:paraId="34AC086E">
      <w:pPr>
        <w:pStyle w:val="76"/>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5.提供中小企业声明函原件；</w:t>
      </w:r>
    </w:p>
    <w:p w14:paraId="183AD058">
      <w:pPr>
        <w:pStyle w:val="2"/>
        <w:rPr>
          <w:rFonts w:hint="eastAsia"/>
        </w:rPr>
      </w:pPr>
    </w:p>
    <w:p w14:paraId="341D7047">
      <w:pPr>
        <w:spacing w:line="360" w:lineRule="auto"/>
        <w:jc w:val="left"/>
        <w:rPr>
          <w:rFonts w:hint="eastAsia"/>
          <w:color w:val="auto"/>
          <w:sz w:val="22"/>
          <w:szCs w:val="22"/>
          <w:highlight w:val="none"/>
        </w:rPr>
      </w:pPr>
      <w:r>
        <w:rPr>
          <w:rFonts w:hint="eastAsia" w:ascii="楷体_GB2312" w:eastAsia="楷体_GB2312"/>
          <w:b/>
          <w:color w:val="auto"/>
          <w:sz w:val="22"/>
          <w:szCs w:val="22"/>
          <w:highlight w:val="none"/>
          <w:u w:val="thick"/>
        </w:rPr>
        <w:t>▲特别说明：</w:t>
      </w:r>
      <w:r>
        <w:rPr>
          <w:color w:val="auto"/>
          <w:sz w:val="22"/>
          <w:szCs w:val="22"/>
          <w:highlight w:val="none"/>
        </w:rPr>
        <w:t>按照国家登记制度改革</w:t>
      </w:r>
      <w:r>
        <w:rPr>
          <w:rFonts w:hint="eastAsia"/>
          <w:color w:val="auto"/>
          <w:sz w:val="22"/>
          <w:szCs w:val="22"/>
          <w:highlight w:val="none"/>
        </w:rPr>
        <w:t>有关政策</w:t>
      </w:r>
      <w:r>
        <w:rPr>
          <w:color w:val="auto"/>
          <w:sz w:val="22"/>
          <w:szCs w:val="22"/>
          <w:highlight w:val="none"/>
        </w:rPr>
        <w:t>，如</w:t>
      </w:r>
      <w:r>
        <w:rPr>
          <w:rFonts w:hint="eastAsia"/>
          <w:color w:val="auto"/>
          <w:sz w:val="22"/>
          <w:szCs w:val="22"/>
          <w:highlight w:val="none"/>
        </w:rPr>
        <w:t>果响应</w:t>
      </w:r>
      <w:r>
        <w:rPr>
          <w:color w:val="auto"/>
          <w:sz w:val="22"/>
          <w:szCs w:val="22"/>
          <w:highlight w:val="none"/>
        </w:rPr>
        <w:t>人提供的营业执照为工商行政管理部门核发的统一社会信用代码的营业执照，可不再单独提供组织机构代码证和税务登记证。</w:t>
      </w:r>
    </w:p>
    <w:p w14:paraId="673F9CBA">
      <w:pPr>
        <w:spacing w:line="360" w:lineRule="auto"/>
        <w:jc w:val="left"/>
        <w:rPr>
          <w:rFonts w:ascii="宋体" w:hAnsi="宋体" w:cs="宋体"/>
          <w:color w:val="auto"/>
          <w:sz w:val="24"/>
          <w:highlight w:val="none"/>
        </w:rPr>
      </w:pPr>
      <w:r>
        <w:rPr>
          <w:rFonts w:hint="eastAsia" w:ascii="楷体_GB2312" w:eastAsia="楷体_GB2312"/>
          <w:b/>
          <w:color w:val="auto"/>
          <w:sz w:val="22"/>
          <w:szCs w:val="22"/>
          <w:highlight w:val="none"/>
          <w:u w:val="thick"/>
        </w:rPr>
        <w:t>▲特别提醒：</w:t>
      </w:r>
      <w:r>
        <w:rPr>
          <w:rFonts w:hint="eastAsia"/>
          <w:color w:val="auto"/>
          <w:sz w:val="22"/>
          <w:szCs w:val="22"/>
          <w:highlight w:val="none"/>
        </w:rPr>
        <w:t>以上证明材料要求提供复印件的必须加盖响应人(法定名称)鲜章,不得使用专用印章（如经济合同章、投标专用章等）或下属单位印章代替。同时，以上材料应逐一审查通过。</w:t>
      </w:r>
    </w:p>
    <w:p w14:paraId="0EC39D31">
      <w:pPr>
        <w:widowControl/>
        <w:overflowPunct w:val="0"/>
        <w:adjustRightInd w:val="0"/>
        <w:snapToGrid w:val="0"/>
        <w:spacing w:line="360" w:lineRule="auto"/>
        <w:jc w:val="both"/>
        <w:outlineLvl w:val="9"/>
        <w:rPr>
          <w:rFonts w:hint="eastAsia" w:ascii="宋体" w:hAnsi="宋体" w:cs="宋体"/>
          <w:b/>
          <w:color w:val="auto"/>
          <w:spacing w:val="-20"/>
          <w:sz w:val="32"/>
          <w:szCs w:val="32"/>
          <w:highlight w:val="none"/>
        </w:rPr>
      </w:pPr>
      <w:bookmarkStart w:id="65" w:name="_Toc5982"/>
      <w:bookmarkStart w:id="66" w:name="_Toc6143"/>
    </w:p>
    <w:p w14:paraId="5C8DF2DC">
      <w:pPr>
        <w:widowControl/>
        <w:overflowPunct w:val="0"/>
        <w:adjustRightInd w:val="0"/>
        <w:snapToGrid w:val="0"/>
        <w:spacing w:line="360" w:lineRule="auto"/>
        <w:jc w:val="center"/>
        <w:outlineLvl w:val="0"/>
        <w:rPr>
          <w:rFonts w:hint="eastAsia" w:ascii="宋体" w:hAnsi="宋体" w:cs="宋体"/>
          <w:b/>
          <w:color w:val="auto"/>
          <w:sz w:val="32"/>
          <w:szCs w:val="32"/>
          <w:highlight w:val="none"/>
        </w:rPr>
      </w:pPr>
      <w:bookmarkStart w:id="67" w:name="_Toc18322"/>
      <w:r>
        <w:rPr>
          <w:rFonts w:hint="eastAsia" w:ascii="宋体" w:hAnsi="宋体" w:cs="宋体"/>
          <w:b/>
          <w:color w:val="auto"/>
          <w:spacing w:val="-20"/>
          <w:sz w:val="32"/>
          <w:szCs w:val="32"/>
          <w:highlight w:val="none"/>
        </w:rPr>
        <w:br w:type="page"/>
      </w:r>
      <w:r>
        <w:rPr>
          <w:rFonts w:hint="eastAsia" w:ascii="宋体" w:hAnsi="宋体" w:cs="宋体"/>
          <w:b/>
          <w:color w:val="auto"/>
          <w:spacing w:val="-20"/>
          <w:sz w:val="32"/>
          <w:szCs w:val="32"/>
          <w:highlight w:val="none"/>
        </w:rPr>
        <w:t>第五章  采购项目技术、服务、政府采购履约主要条款及其他商务要求</w:t>
      </w:r>
      <w:bookmarkEnd w:id="61"/>
      <w:bookmarkEnd w:id="62"/>
      <w:bookmarkEnd w:id="63"/>
      <w:bookmarkEnd w:id="64"/>
      <w:bookmarkEnd w:id="65"/>
      <w:bookmarkEnd w:id="66"/>
      <w:bookmarkEnd w:id="67"/>
    </w:p>
    <w:p w14:paraId="65811A3C">
      <w:pPr>
        <w:adjustRightInd w:val="0"/>
        <w:snapToGrid w:val="0"/>
        <w:spacing w:line="360" w:lineRule="auto"/>
        <w:ind w:firstLine="361" w:firstLineChars="150"/>
        <w:jc w:val="left"/>
        <w:rPr>
          <w:rFonts w:hint="eastAsia" w:ascii="宋体" w:hAnsi="宋体" w:cs="宋体"/>
          <w:b/>
          <w:color w:val="auto"/>
          <w:sz w:val="24"/>
          <w:highlight w:val="none"/>
        </w:rPr>
      </w:pPr>
      <w:bookmarkStart w:id="68" w:name="_Toc217446094"/>
      <w:r>
        <w:rPr>
          <w:rFonts w:hint="eastAsia" w:ascii="宋体" w:hAnsi="宋体" w:cs="宋体"/>
          <w:b/>
          <w:color w:val="auto"/>
          <w:sz w:val="24"/>
          <w:highlight w:val="none"/>
        </w:rPr>
        <w:t>一、项目概述</w:t>
      </w:r>
      <w:bookmarkEnd w:id="68"/>
    </w:p>
    <w:p w14:paraId="191816F0">
      <w:pPr>
        <w:pStyle w:val="11"/>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color w:val="000000"/>
          <w:sz w:val="24"/>
          <w:highlight w:val="none"/>
          <w:lang w:eastAsia="zh-CN"/>
        </w:rPr>
      </w:pPr>
      <w:r>
        <w:rPr>
          <w:rFonts w:hint="eastAsia" w:ascii="宋体" w:hAnsi="宋体"/>
          <w:color w:val="000000"/>
          <w:sz w:val="24"/>
          <w:highlight w:val="none"/>
          <w:lang w:eastAsia="zh-CN"/>
        </w:rPr>
        <w:t>四川信息职业技术学院工程造价咨询服务采购项目</w:t>
      </w:r>
    </w:p>
    <w:p w14:paraId="3ECB9E04">
      <w:pPr>
        <w:pStyle w:val="11"/>
        <w:keepNext w:val="0"/>
        <w:keepLines w:val="0"/>
        <w:pageBreakBefore w:val="0"/>
        <w:numPr>
          <w:ilvl w:val="0"/>
          <w:numId w:val="2"/>
        </w:numPr>
        <w:kinsoku/>
        <w:wordWrap/>
        <w:overflowPunct/>
        <w:topLinePunct w:val="0"/>
        <w:autoSpaceDE/>
        <w:autoSpaceDN/>
        <w:bidi w:val="0"/>
        <w:adjustRightInd/>
        <w:snapToGrid/>
        <w:spacing w:line="360" w:lineRule="auto"/>
        <w:ind w:firstLine="241" w:firstLineChars="10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采购内容</w:t>
      </w:r>
    </w:p>
    <w:p w14:paraId="466C2268">
      <w:pPr>
        <w:numPr>
          <w:ilvl w:val="0"/>
          <w:numId w:val="0"/>
        </w:numPr>
        <w:spacing w:line="360" w:lineRule="auto"/>
        <w:ind w:firstLine="480" w:firstLineChars="200"/>
        <w:rPr>
          <w:rFonts w:hint="eastAsia" w:eastAsia="宋体"/>
          <w:highlight w:val="none"/>
          <w:lang w:val="en-US" w:eastAsia="zh-CN"/>
        </w:rPr>
      </w:pPr>
      <w:r>
        <w:rPr>
          <w:rFonts w:hint="eastAsia" w:ascii="宋体" w:hAnsi="宋体"/>
          <w:color w:val="000000"/>
          <w:sz w:val="24"/>
          <w:highlight w:val="none"/>
        </w:rPr>
        <w:t>为学院小型、零星维修工程项目提供第三方中介审计服务，包含</w:t>
      </w:r>
      <w:r>
        <w:rPr>
          <w:rFonts w:hint="eastAsia" w:ascii="宋体" w:hAnsi="宋体"/>
          <w:color w:val="000000"/>
          <w:sz w:val="24"/>
          <w:highlight w:val="none"/>
          <w:lang w:val="en-US" w:eastAsia="zh-CN"/>
        </w:rPr>
        <w:t>但不限于</w:t>
      </w:r>
      <w:r>
        <w:rPr>
          <w:rFonts w:hint="eastAsia" w:ascii="宋体" w:hAnsi="宋体"/>
          <w:color w:val="000000"/>
          <w:sz w:val="24"/>
          <w:highlight w:val="none"/>
        </w:rPr>
        <w:t>工程现场勘查、工程量核对、结算资料审核、造价核算、出具正式工程结算审计报告等全流程审计工作，按校方要求完成零星维修项目造价审核、结算复核及相关审计配套服务</w:t>
      </w:r>
      <w:r>
        <w:rPr>
          <w:rFonts w:hint="eastAsia" w:ascii="宋体" w:hAnsi="宋体"/>
          <w:color w:val="000000"/>
          <w:sz w:val="24"/>
          <w:highlight w:val="none"/>
          <w:lang w:eastAsia="zh-CN"/>
        </w:rPr>
        <w:t>。</w:t>
      </w:r>
    </w:p>
    <w:p w14:paraId="75AA6918">
      <w:pPr>
        <w:numPr>
          <w:ilvl w:val="0"/>
          <w:numId w:val="3"/>
        </w:numPr>
        <w:spacing w:line="360" w:lineRule="auto"/>
        <w:ind w:firstLine="482" w:firstLineChars="20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技术、服务要求</w:t>
      </w:r>
    </w:p>
    <w:p w14:paraId="06D1564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（一）技术要求：</w:t>
      </w:r>
    </w:p>
    <w:p w14:paraId="4816B0B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1.满足《建设工程造价咨询规范》（GB/T 51095-2015）、《建设工程造价咨询成果文件质量标准》（CECA/GC 7-2012)、《建设工程结算编审规程（CECA/GC3-2010）》等国家和行业的相关法规制度要求。（有最新版本的，以最新为准）</w:t>
      </w:r>
    </w:p>
    <w:p w14:paraId="73224DAA">
      <w:pPr>
        <w:pStyle w:val="82"/>
        <w:keepNext w:val="0"/>
        <w:keepLines w:val="0"/>
        <w:pageBreakBefore w:val="0"/>
        <w:kinsoku/>
        <w:wordWrap/>
        <w:overflowPunct/>
        <w:topLinePunct w:val="0"/>
        <w:autoSpaceDE/>
        <w:autoSpaceDN/>
        <w:bidi w:val="0"/>
        <w:adjustRightInd/>
        <w:snapToGrid/>
        <w:spacing w:line="360" w:lineRule="auto"/>
        <w:ind w:firstLine="624"/>
        <w:jc w:val="both"/>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w:t>
      </w:r>
      <w:r>
        <w:rPr>
          <w:rFonts w:hint="eastAsia" w:ascii="宋体" w:hAnsi="宋体" w:cs="Times New Roman"/>
          <w:color w:val="000000"/>
          <w:kern w:val="2"/>
          <w:sz w:val="24"/>
          <w:szCs w:val="24"/>
          <w:lang w:val="en-US" w:eastAsia="zh-CN" w:bidi="ar-SA"/>
        </w:rPr>
        <w:t>二</w:t>
      </w:r>
      <w:r>
        <w:rPr>
          <w:rFonts w:hint="eastAsia" w:ascii="宋体" w:hAnsi="宋体" w:eastAsia="宋体" w:cs="Times New Roman"/>
          <w:color w:val="000000"/>
          <w:kern w:val="2"/>
          <w:sz w:val="24"/>
          <w:szCs w:val="24"/>
          <w:lang w:val="en-US" w:eastAsia="zh-CN" w:bidi="ar-SA"/>
        </w:rPr>
        <w:t>）审计服务要求</w:t>
      </w:r>
    </w:p>
    <w:p w14:paraId="778070C5">
      <w:pPr>
        <w:pStyle w:val="82"/>
        <w:keepNext w:val="0"/>
        <w:keepLines w:val="0"/>
        <w:pageBreakBefore w:val="0"/>
        <w:kinsoku/>
        <w:wordWrap/>
        <w:overflowPunct/>
        <w:topLinePunct w:val="0"/>
        <w:autoSpaceDE/>
        <w:autoSpaceDN/>
        <w:bidi w:val="0"/>
        <w:adjustRightInd/>
        <w:snapToGrid/>
        <w:spacing w:line="360" w:lineRule="auto"/>
        <w:ind w:firstLine="624"/>
        <w:jc w:val="both"/>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对审计工作的要求。保证时间进度。成交供应商按采购人及审计工作方案对审计项目时间进度和审计内容的要求制定审计实施方案，保证审计项目按期完成。保证审计质量。成交供应商按照审计实施方案，严格执行，真实、准确、完整地反映发现的问题，确保审计内容全面实施。为了控制风险,保证审计报告的质量，采购人可向成交供应商就有关事项下发工作要求，成交供应商应按要求及时提交有关资料。为了保证审计工作进度，成交供应商应及时就审计工作进度等向采购人沟通。采</w:t>
      </w:r>
      <w:r>
        <w:rPr>
          <w:rFonts w:hint="eastAsia" w:ascii="宋体" w:hAnsi="宋体" w:eastAsia="宋体" w:cs="Times New Roman"/>
          <w:color w:val="000000"/>
          <w:kern w:val="2"/>
          <w:sz w:val="24"/>
          <w:szCs w:val="24"/>
          <w:highlight w:val="none"/>
          <w:lang w:val="en-US" w:eastAsia="zh-CN" w:bidi="ar-SA"/>
        </w:rPr>
        <w:t>购人通知进场时，成交供应商应于2日内按人员配置要求到达采购人指定的工作地点开展工作。</w:t>
      </w:r>
      <w:r>
        <w:rPr>
          <w:rFonts w:hint="eastAsia" w:ascii="宋体" w:hAnsi="宋体" w:eastAsia="宋体" w:cs="Times New Roman"/>
          <w:color w:val="000000"/>
          <w:kern w:val="2"/>
          <w:sz w:val="24"/>
          <w:szCs w:val="24"/>
          <w:lang w:val="en-US" w:eastAsia="zh-CN" w:bidi="ar-SA"/>
        </w:rPr>
        <w:t>成交供应商安排的项目负责人必须具备一定的相关审计工作经验,熟悉相关法律、法规，能充分胜任所从事的工作。成交供应商安排的参审人员必须遵守《审计“四严禁”“八不准”工作纪律》，因违反该纪律产生的后果由成交供应商全权承担，与采购人无关。成交供应商对安排的参审人员在参与审计工作中的安全负责,采购人不承担责任。</w:t>
      </w:r>
    </w:p>
    <w:p w14:paraId="6BE42192">
      <w:pPr>
        <w:pStyle w:val="82"/>
        <w:keepNext w:val="0"/>
        <w:keepLines w:val="0"/>
        <w:pageBreakBefore w:val="0"/>
        <w:kinsoku/>
        <w:wordWrap/>
        <w:overflowPunct/>
        <w:topLinePunct w:val="0"/>
        <w:autoSpaceDE/>
        <w:autoSpaceDN/>
        <w:bidi w:val="0"/>
        <w:adjustRightInd/>
        <w:snapToGrid/>
        <w:spacing w:line="360" w:lineRule="auto"/>
        <w:ind w:firstLine="624"/>
        <w:jc w:val="both"/>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签订服务合同后，成交供应商应从接到完整的竣工结算资料之日起，单个项目按</w:t>
      </w:r>
      <w:r>
        <w:rPr>
          <w:rFonts w:hint="eastAsia" w:ascii="宋体" w:hAnsi="宋体" w:cs="Times New Roman"/>
          <w:b/>
          <w:bCs/>
          <w:color w:val="000000"/>
          <w:kern w:val="2"/>
          <w:sz w:val="24"/>
          <w:szCs w:val="24"/>
          <w:lang w:val="en-US" w:eastAsia="zh-CN" w:bidi="ar-SA"/>
        </w:rPr>
        <w:t>20</w:t>
      </w:r>
      <w:r>
        <w:rPr>
          <w:rFonts w:hint="eastAsia" w:ascii="宋体" w:hAnsi="宋体" w:eastAsia="宋体" w:cs="Times New Roman"/>
          <w:b/>
          <w:bCs/>
          <w:color w:val="000000"/>
          <w:kern w:val="2"/>
          <w:sz w:val="24"/>
          <w:szCs w:val="24"/>
          <w:lang w:val="en-US" w:eastAsia="zh-CN" w:bidi="ar-SA"/>
        </w:rPr>
        <w:t>个日历天</w:t>
      </w:r>
      <w:r>
        <w:rPr>
          <w:rFonts w:hint="eastAsia" w:ascii="宋体" w:hAnsi="宋体" w:eastAsia="宋体" w:cs="Times New Roman"/>
          <w:color w:val="000000"/>
          <w:kern w:val="2"/>
          <w:sz w:val="24"/>
          <w:szCs w:val="24"/>
          <w:lang w:val="en-US" w:eastAsia="zh-CN" w:bidi="ar-SA"/>
        </w:rPr>
        <w:t>时限审结项目，出具审核报告。如遇非成交供应商原因影响审核时间的，成交供应商应在合同约定期限内提出书面延期申请，经采购人批准后方可延期。</w:t>
      </w:r>
    </w:p>
    <w:p w14:paraId="616DB071">
      <w:pPr>
        <w:pStyle w:val="82"/>
        <w:keepNext w:val="0"/>
        <w:keepLines w:val="0"/>
        <w:pageBreakBefore w:val="0"/>
        <w:numPr>
          <w:ilvl w:val="0"/>
          <w:numId w:val="4"/>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保密要求。本项目成交供应商在项目服务履约过程中，对采购人的财务信息等严格保密，成交供应商不得违法使用或泄漏（提供书面承诺函原件并加盖供应商鲜章，格式自拟）。</w:t>
      </w:r>
    </w:p>
    <w:p w14:paraId="6768DCEF">
      <w:pPr>
        <w:pStyle w:val="82"/>
        <w:keepNext w:val="0"/>
        <w:keepLines w:val="0"/>
        <w:pageBreakBefore w:val="0"/>
        <w:kinsoku/>
        <w:wordWrap/>
        <w:overflowPunct/>
        <w:topLinePunct w:val="0"/>
        <w:autoSpaceDE/>
        <w:autoSpaceDN/>
        <w:bidi w:val="0"/>
        <w:adjustRightInd/>
        <w:snapToGrid/>
        <w:spacing w:line="360" w:lineRule="auto"/>
        <w:ind w:firstLine="624"/>
        <w:jc w:val="both"/>
        <w:textAlignment w:val="auto"/>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w:t>
      </w:r>
      <w:r>
        <w:rPr>
          <w:rFonts w:hint="eastAsia" w:ascii="宋体" w:hAnsi="宋体" w:cs="Times New Roman"/>
          <w:color w:val="000000"/>
          <w:kern w:val="2"/>
          <w:sz w:val="24"/>
          <w:szCs w:val="24"/>
          <w:highlight w:val="none"/>
          <w:lang w:val="en-US" w:eastAsia="zh-CN" w:bidi="ar-SA"/>
        </w:rPr>
        <w:t>三</w:t>
      </w:r>
      <w:r>
        <w:rPr>
          <w:rFonts w:hint="eastAsia" w:ascii="宋体" w:hAnsi="宋体" w:eastAsia="宋体" w:cs="Times New Roman"/>
          <w:color w:val="000000"/>
          <w:kern w:val="2"/>
          <w:sz w:val="24"/>
          <w:szCs w:val="24"/>
          <w:highlight w:val="none"/>
          <w:lang w:val="en-US" w:eastAsia="zh-CN" w:bidi="ar-SA"/>
        </w:rPr>
        <w:t>）审计服务成果</w:t>
      </w:r>
    </w:p>
    <w:p w14:paraId="3D4352D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1.</w:t>
      </w:r>
      <w:r>
        <w:rPr>
          <w:rFonts w:hint="eastAsia" w:ascii="宋体" w:hAnsi="宋体" w:eastAsia="宋体" w:cs="Times New Roman"/>
          <w:color w:val="000000"/>
          <w:kern w:val="2"/>
          <w:sz w:val="24"/>
          <w:szCs w:val="24"/>
          <w:lang w:val="en-US" w:eastAsia="zh-CN" w:bidi="ar-SA"/>
        </w:rPr>
        <w:t>审计报告需内容详实、实事求是、客观公正。审计报告初稿完成后，采购人有权对审计报告中的数据、审计意见、审计过程中发现的问题提出修改意见，若采购人认为审计报告中存在不真实、不准确等问题，可要求重新核实修正。审计报告需符合现行法律法规、行业标准及采购人要求的。</w:t>
      </w:r>
    </w:p>
    <w:p w14:paraId="0A7FA979">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bCs/>
          <w:color w:val="000000"/>
          <w:kern w:val="2"/>
          <w:sz w:val="24"/>
          <w:szCs w:val="24"/>
          <w:highlight w:val="none"/>
          <w:lang w:val="en-US" w:eastAsia="zh-CN" w:bidi="ar-SA"/>
        </w:rPr>
      </w:pPr>
      <w:r>
        <w:rPr>
          <w:rFonts w:hint="eastAsia" w:ascii="宋体" w:hAnsi="宋体" w:eastAsia="宋体" w:cs="Times New Roman"/>
          <w:color w:val="000000"/>
          <w:kern w:val="2"/>
          <w:sz w:val="24"/>
          <w:szCs w:val="24"/>
          <w:lang w:val="en-US" w:eastAsia="zh-CN" w:bidi="ar-SA"/>
        </w:rPr>
        <w:t xml:space="preserve">   2.竣工结算资料中如发现有与实际施工不一致、背离 市场价格或影响工程造价等情况的资料，有责任和义务向采购人书面指出并提出合理化建议；不得与施工单位串通，影响审核结果的公正性和准确性，审核单位出具的审核报告出现重大质量问题，</w:t>
      </w:r>
      <w:r>
        <w:rPr>
          <w:rFonts w:hint="eastAsia" w:ascii="宋体" w:hAnsi="宋体" w:eastAsia="宋体" w:cs="Times New Roman"/>
          <w:b/>
          <w:bCs/>
          <w:color w:val="000000"/>
          <w:kern w:val="2"/>
          <w:sz w:val="24"/>
          <w:szCs w:val="24"/>
          <w:highlight w:val="none"/>
          <w:lang w:val="en-US" w:eastAsia="zh-CN" w:bidi="ar-SA"/>
        </w:rPr>
        <w:t>经复审误差率在3%以上的，每超1个百分点扣减酬金（审核费）500元，直至扣完应付酬金（审核费）为止且有权要求供应商更换结算审核负责人。</w:t>
      </w:r>
    </w:p>
    <w:p w14:paraId="7B04F5DD">
      <w:pPr>
        <w:pStyle w:val="82"/>
        <w:keepNext w:val="0"/>
        <w:keepLines w:val="0"/>
        <w:pageBreakBefore w:val="0"/>
        <w:numPr>
          <w:ilvl w:val="0"/>
          <w:numId w:val="4"/>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提交成果资料:向采购人提交成果纸质件5套(A4纸)及电子文件1套，包括但不限于：</w:t>
      </w:r>
    </w:p>
    <w:p w14:paraId="74AB5AF8">
      <w:pPr>
        <w:pStyle w:val="82"/>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①工程结算审核定案表（经各方签章确认）。</w:t>
      </w:r>
    </w:p>
    <w:p w14:paraId="3B83688D">
      <w:pPr>
        <w:pStyle w:val="82"/>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②工程结算审计报告（详细说明审计情况、审减原因及依据）。</w:t>
      </w:r>
    </w:p>
    <w:p w14:paraId="3E2E6AAE">
      <w:pPr>
        <w:pStyle w:val="82"/>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③审计过程计算底稿及重要询证记录（电子版及纸质版）。</w:t>
      </w:r>
    </w:p>
    <w:p w14:paraId="138D648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eastAsia="宋体" w:cs="Times New Roman"/>
          <w:color w:val="000000"/>
          <w:kern w:val="2"/>
          <w:sz w:val="24"/>
          <w:szCs w:val="24"/>
          <w:lang w:val="en-US" w:eastAsia="zh-CN" w:bidi="ar-SA"/>
        </w:rPr>
        <w:t>④其他需要说明的资料。</w:t>
      </w:r>
    </w:p>
    <w:p w14:paraId="538F1CC4">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b/>
          <w:color w:val="000000"/>
          <w:sz w:val="24"/>
          <w:highlight w:val="none"/>
        </w:rPr>
      </w:pPr>
      <w:r>
        <w:rPr>
          <w:rFonts w:hint="eastAsia" w:ascii="宋体" w:hAnsi="宋体"/>
          <w:b/>
          <w:color w:val="000000"/>
          <w:sz w:val="24"/>
          <w:highlight w:val="none"/>
          <w:lang w:eastAsia="zh-CN"/>
        </w:rPr>
        <w:t>四</w:t>
      </w:r>
      <w:r>
        <w:rPr>
          <w:rFonts w:hint="eastAsia" w:ascii="宋体" w:hAnsi="宋体"/>
          <w:b/>
          <w:color w:val="000000"/>
          <w:sz w:val="24"/>
          <w:highlight w:val="none"/>
        </w:rPr>
        <w:t>、商务要求及售后服务要求：</w:t>
      </w:r>
    </w:p>
    <w:p w14:paraId="155F46E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（一）</w:t>
      </w:r>
      <w:r>
        <w:rPr>
          <w:rFonts w:hint="eastAsia" w:ascii="宋体" w:hAnsi="宋体" w:eastAsia="宋体" w:cs="Times New Roman"/>
          <w:color w:val="000000"/>
          <w:kern w:val="2"/>
          <w:sz w:val="24"/>
          <w:szCs w:val="24"/>
          <w:lang w:val="en-US" w:eastAsia="zh-CN" w:bidi="ar-SA"/>
        </w:rPr>
        <w:t>合同签订时间</w:t>
      </w:r>
    </w:p>
    <w:p w14:paraId="38AC1D0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成交供应商应在成交公告之日起，30日内完成合同签订；由于供应商的原因逾期未与采购人签订采购合同的，将视为放弃成交，取消其成交资格。</w:t>
      </w:r>
    </w:p>
    <w:p w14:paraId="3DFA830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（二）</w:t>
      </w:r>
      <w:r>
        <w:rPr>
          <w:rFonts w:hint="eastAsia" w:ascii="宋体" w:hAnsi="宋体" w:eastAsia="宋体" w:cs="Times New Roman"/>
          <w:color w:val="000000"/>
          <w:kern w:val="2"/>
          <w:sz w:val="24"/>
          <w:szCs w:val="24"/>
          <w:lang w:val="en-US" w:eastAsia="zh-CN" w:bidi="ar-SA"/>
        </w:rPr>
        <w:t>服务期限：</w:t>
      </w:r>
      <w:r>
        <w:rPr>
          <w:rFonts w:hint="eastAsia" w:ascii="宋体" w:hAnsi="宋体" w:eastAsia="宋体" w:cs="Times New Roman"/>
          <w:color w:val="000000"/>
          <w:kern w:val="2"/>
          <w:sz w:val="24"/>
          <w:szCs w:val="24"/>
          <w:highlight w:val="none"/>
          <w:lang w:val="en-US" w:eastAsia="zh-CN" w:bidi="ar-SA"/>
        </w:rPr>
        <w:t>自合同签订之日起1年。</w:t>
      </w:r>
    </w:p>
    <w:p w14:paraId="4131C65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（三）</w:t>
      </w:r>
      <w:r>
        <w:rPr>
          <w:rFonts w:hint="eastAsia" w:ascii="宋体" w:hAnsi="宋体" w:eastAsia="宋体" w:cs="Times New Roman"/>
          <w:color w:val="auto"/>
          <w:kern w:val="2"/>
          <w:sz w:val="24"/>
          <w:szCs w:val="24"/>
          <w:lang w:val="en-US" w:eastAsia="zh-CN" w:bidi="ar-SA"/>
        </w:rPr>
        <w:t>付款方式和付款进度：</w:t>
      </w:r>
    </w:p>
    <w:p w14:paraId="6FE9294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highlight w:val="cyan"/>
          <w:lang w:val="en-US" w:eastAsia="zh-CN" w:bidi="ar-SA"/>
        </w:rPr>
      </w:pPr>
      <w:r>
        <w:rPr>
          <w:rFonts w:hint="eastAsia" w:ascii="宋体" w:hAnsi="宋体" w:eastAsia="宋体" w:cs="Times New Roman"/>
          <w:color w:val="auto"/>
          <w:kern w:val="2"/>
          <w:sz w:val="24"/>
          <w:szCs w:val="24"/>
          <w:lang w:val="en-US" w:eastAsia="zh-CN" w:bidi="ar-SA"/>
        </w:rPr>
        <w:t>由采购人直接向成交供应商支付，每完成一个项目，提交正式审计报告并经采购人验收合格后</w:t>
      </w:r>
      <w:r>
        <w:rPr>
          <w:rFonts w:hint="eastAsia" w:ascii="宋体" w:hAnsi="宋体" w:eastAsia="宋体" w:cs="Times New Roman"/>
          <w:color w:val="auto"/>
          <w:kern w:val="2"/>
          <w:sz w:val="24"/>
          <w:szCs w:val="24"/>
          <w:highlight w:val="none"/>
          <w:lang w:val="en-US" w:eastAsia="zh-CN" w:bidi="ar-SA"/>
        </w:rPr>
        <w:t>，</w:t>
      </w:r>
      <w:r>
        <w:rPr>
          <w:rFonts w:hint="eastAsia" w:ascii="宋体" w:hAnsi="宋体" w:cs="Times New Roman"/>
          <w:color w:val="auto"/>
          <w:kern w:val="2"/>
          <w:sz w:val="24"/>
          <w:szCs w:val="24"/>
          <w:highlight w:val="none"/>
          <w:lang w:val="en-US" w:eastAsia="zh-CN" w:bidi="ar-SA"/>
        </w:rPr>
        <w:t>2</w:t>
      </w:r>
      <w:r>
        <w:rPr>
          <w:rFonts w:hint="eastAsia" w:ascii="宋体" w:hAnsi="宋体" w:eastAsia="宋体" w:cs="Times New Roman"/>
          <w:color w:val="auto"/>
          <w:kern w:val="2"/>
          <w:sz w:val="24"/>
          <w:szCs w:val="24"/>
          <w:highlight w:val="none"/>
          <w:lang w:val="en-US" w:eastAsia="zh-CN" w:bidi="ar-SA"/>
        </w:rPr>
        <w:t>个月内根据项目金额结算。</w:t>
      </w:r>
    </w:p>
    <w:p w14:paraId="2D51112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 xml:space="preserve">（四）服务费用：包括基本审核费和效益审核费。依据《四川省物价局、四川省建设厅关于印发〈四川省工程造价咨询服务收费标准〉的通知》（川价发〔2008〕141 号）对应服务基准收费标准及供应商投标时最终下浮比例计算。 </w:t>
      </w:r>
      <w:r>
        <w:rPr>
          <w:rFonts w:hint="eastAsia" w:ascii="宋体" w:hAnsi="宋体" w:eastAsia="宋体" w:cs="Times New Roman"/>
          <w:color w:val="auto"/>
          <w:kern w:val="2"/>
          <w:sz w:val="24"/>
          <w:szCs w:val="24"/>
          <w:highlight w:val="none"/>
          <w:lang w:val="en-US" w:eastAsia="zh-CN" w:bidi="ar-SA"/>
        </w:rPr>
        <w:t>效益审计费（</w:t>
      </w:r>
      <w:r>
        <w:rPr>
          <w:rFonts w:hint="eastAsia" w:ascii="宋体" w:hAnsi="宋体" w:eastAsia="宋体" w:cs="Times New Roman"/>
          <w:b/>
          <w:bCs/>
          <w:color w:val="auto"/>
          <w:kern w:val="2"/>
          <w:sz w:val="24"/>
          <w:szCs w:val="24"/>
          <w:highlight w:val="none"/>
          <w:lang w:val="en-US" w:eastAsia="zh-CN" w:bidi="ar-SA"/>
        </w:rPr>
        <w:t>参与下浮，同投标下浮比例</w:t>
      </w:r>
      <w:r>
        <w:rPr>
          <w:rFonts w:hint="eastAsia" w:ascii="宋体" w:hAnsi="宋体" w:eastAsia="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：审减率在3%以内（含3%），不计取效益审计费；审减率在3%以上的按审减额的4%计取效益审计费。  注：（整个项目全部收费金额低于人民币3000元，按3000元收取）</w:t>
      </w:r>
    </w:p>
    <w:p w14:paraId="48FF1CDF">
      <w:pPr>
        <w:pStyle w:val="82"/>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（五）</w:t>
      </w:r>
      <w:r>
        <w:rPr>
          <w:rFonts w:hint="eastAsia" w:ascii="宋体" w:hAnsi="宋体" w:eastAsia="宋体" w:cs="Times New Roman"/>
          <w:color w:val="auto"/>
          <w:kern w:val="2"/>
          <w:sz w:val="24"/>
          <w:szCs w:val="24"/>
          <w:lang w:val="en-US" w:eastAsia="zh-CN" w:bidi="ar-SA"/>
        </w:rPr>
        <w:t>人员配置</w:t>
      </w:r>
    </w:p>
    <w:p w14:paraId="7B2A34B1">
      <w:pPr>
        <w:pStyle w:val="82"/>
        <w:keepNext w:val="0"/>
        <w:keepLines w:val="0"/>
        <w:pageBreakBefore w:val="0"/>
        <w:kinsoku/>
        <w:wordWrap/>
        <w:overflowPunct/>
        <w:topLinePunct w:val="0"/>
        <w:autoSpaceDE/>
        <w:autoSpaceDN/>
        <w:bidi w:val="0"/>
        <w:adjustRightInd/>
        <w:snapToGrid/>
        <w:spacing w:line="360" w:lineRule="auto"/>
        <w:ind w:firstLine="720" w:firstLineChars="300"/>
        <w:jc w:val="both"/>
        <w:textAlignment w:val="auto"/>
        <w:rPr>
          <w:rFonts w:hint="eastAsia"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①</w:t>
      </w:r>
      <w:r>
        <w:rPr>
          <w:rFonts w:hint="eastAsia" w:ascii="宋体" w:hAnsi="宋体" w:eastAsia="宋体" w:cs="Times New Roman"/>
          <w:color w:val="auto"/>
          <w:kern w:val="2"/>
          <w:sz w:val="24"/>
          <w:szCs w:val="24"/>
          <w:lang w:val="en-US" w:eastAsia="zh-CN" w:bidi="ar-SA"/>
        </w:rPr>
        <w:t>配备的人员应该具备相应的专业技术能力。</w:t>
      </w:r>
    </w:p>
    <w:p w14:paraId="68CEB9C3">
      <w:pPr>
        <w:pStyle w:val="82"/>
        <w:keepNext w:val="0"/>
        <w:keepLines w:val="0"/>
        <w:pageBreakBefore w:val="0"/>
        <w:kinsoku/>
        <w:wordWrap/>
        <w:overflowPunct/>
        <w:topLinePunct w:val="0"/>
        <w:autoSpaceDE/>
        <w:autoSpaceDN/>
        <w:bidi w:val="0"/>
        <w:adjustRightInd/>
        <w:snapToGrid/>
        <w:spacing w:line="360" w:lineRule="auto"/>
        <w:ind w:firstLine="720" w:firstLineChars="300"/>
        <w:jc w:val="both"/>
        <w:textAlignment w:val="auto"/>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②</w:t>
      </w:r>
      <w:r>
        <w:rPr>
          <w:rFonts w:hint="eastAsia" w:ascii="宋体" w:hAnsi="宋体" w:eastAsia="宋体" w:cs="Times New Roman"/>
          <w:color w:val="000000"/>
          <w:kern w:val="2"/>
          <w:sz w:val="24"/>
          <w:szCs w:val="24"/>
          <w:lang w:val="en-US" w:eastAsia="zh-CN" w:bidi="ar-SA"/>
        </w:rPr>
        <w:t>审计正式开始时须提供入场人员的证书。</w:t>
      </w:r>
    </w:p>
    <w:p w14:paraId="06749685">
      <w:pPr>
        <w:keepNext w:val="0"/>
        <w:keepLines w:val="0"/>
        <w:pageBreakBefore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lang w:val="en-US" w:eastAsia="zh-CN"/>
        </w:rPr>
      </w:pPr>
      <w:r>
        <w:rPr>
          <w:rFonts w:hint="eastAsia" w:ascii="宋体" w:hAnsi="宋体" w:cs="Times New Roman"/>
          <w:color w:val="000000"/>
          <w:kern w:val="2"/>
          <w:sz w:val="24"/>
          <w:szCs w:val="24"/>
          <w:lang w:val="en-US" w:eastAsia="zh-CN" w:bidi="ar-SA"/>
        </w:rPr>
        <w:t>③</w:t>
      </w:r>
      <w:r>
        <w:rPr>
          <w:rFonts w:hint="eastAsia" w:ascii="宋体" w:hAnsi="宋体" w:eastAsia="宋体" w:cs="Times New Roman"/>
          <w:color w:val="000000"/>
          <w:kern w:val="2"/>
          <w:sz w:val="24"/>
          <w:szCs w:val="24"/>
          <w:lang w:val="en-US" w:eastAsia="zh-CN" w:bidi="ar-SA"/>
        </w:rPr>
        <w:t>其他相关要求。项目负责人驻现场开展审计；未经采购人同意不得更换项目负责人，直至所有项目所有内容完成，经采购人验收合格；成交供应商及其投入本项目的审计人员应当恪守职业道德，廉洁自律，接受采购人的监督、指导和管理。</w:t>
      </w:r>
    </w:p>
    <w:p w14:paraId="0A643E8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（六）</w:t>
      </w:r>
      <w:r>
        <w:rPr>
          <w:rFonts w:hint="eastAsia" w:ascii="宋体" w:hAnsi="宋体" w:eastAsia="宋体" w:cs="Times New Roman"/>
          <w:color w:val="000000"/>
          <w:kern w:val="2"/>
          <w:sz w:val="24"/>
          <w:szCs w:val="24"/>
          <w:lang w:val="en-US" w:eastAsia="zh-CN" w:bidi="ar-SA"/>
        </w:rPr>
        <w:t>验收标准：由采购人严格按照政府采购相关法律法规以及《财政部关于进一步加强政府采购需求和履约验收管理的指导意见》（财库〔2016〕205号）的要求、磋商文件的服务要求和服务指标、成交供应商的响应文件及承诺以及合同约定进行验收。</w:t>
      </w:r>
    </w:p>
    <w:p w14:paraId="6D83983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kern w:val="2"/>
          <w:sz w:val="24"/>
          <w:szCs w:val="24"/>
          <w:lang w:val="zh-CN" w:eastAsia="zh-CN" w:bidi="ar-SA"/>
        </w:rPr>
      </w:pPr>
      <w:bookmarkStart w:id="69" w:name="_Toc267320049"/>
      <w:r>
        <w:rPr>
          <w:rFonts w:hint="eastAsia" w:ascii="宋体" w:hAnsi="宋体" w:cs="Times New Roman"/>
          <w:color w:val="000000"/>
          <w:kern w:val="2"/>
          <w:sz w:val="24"/>
          <w:szCs w:val="24"/>
          <w:lang w:val="en-US" w:eastAsia="zh-CN" w:bidi="ar-SA"/>
        </w:rPr>
        <w:t>（七）</w:t>
      </w:r>
      <w:r>
        <w:rPr>
          <w:rFonts w:hint="eastAsia" w:ascii="宋体" w:hAnsi="宋体" w:eastAsia="宋体" w:cs="Times New Roman"/>
          <w:color w:val="000000"/>
          <w:kern w:val="2"/>
          <w:sz w:val="24"/>
          <w:szCs w:val="24"/>
          <w:lang w:val="en-US" w:eastAsia="zh-CN" w:bidi="ar-SA"/>
        </w:rPr>
        <w:t>实施地点</w:t>
      </w:r>
      <w:bookmarkEnd w:id="69"/>
      <w:r>
        <w:rPr>
          <w:rFonts w:hint="eastAsia" w:ascii="宋体" w:hAnsi="宋体" w:eastAsia="宋体" w:cs="Times New Roman"/>
          <w:color w:val="000000"/>
          <w:kern w:val="2"/>
          <w:sz w:val="24"/>
          <w:szCs w:val="24"/>
          <w:lang w:val="en-US" w:eastAsia="zh-CN" w:bidi="ar-SA"/>
        </w:rPr>
        <w:t>：四川信息职业技术学院指定地点。</w:t>
      </w:r>
    </w:p>
    <w:p w14:paraId="0DCB3351">
      <w:pPr>
        <w:pStyle w:val="4"/>
        <w:keepNext w:val="0"/>
        <w:keepLines w:val="0"/>
        <w:spacing w:before="0" w:after="0" w:line="240" w:lineRule="auto"/>
        <w:outlineLvl w:val="9"/>
        <w:rPr>
          <w:rFonts w:hint="eastAsia" w:ascii="宋体" w:hAnsi="Times New Roman" w:eastAsia="宋体"/>
          <w:b w:val="0"/>
          <w:bCs w:val="0"/>
          <w:color w:val="auto"/>
          <w:kern w:val="0"/>
          <w:sz w:val="21"/>
          <w:szCs w:val="21"/>
          <w:highlight w:val="none"/>
        </w:rPr>
      </w:pPr>
      <w:r>
        <w:rPr>
          <w:rFonts w:hint="eastAsia" w:ascii="宋体" w:hAnsi="Times New Roman" w:eastAsia="宋体"/>
          <w:b w:val="0"/>
          <w:bCs w:val="0"/>
          <w:color w:val="auto"/>
          <w:kern w:val="0"/>
          <w:sz w:val="21"/>
          <w:szCs w:val="21"/>
          <w:highlight w:val="none"/>
        </w:rPr>
        <w:br w:type="page"/>
      </w:r>
    </w:p>
    <w:p w14:paraId="40B8923E">
      <w:pPr>
        <w:adjustRightInd w:val="0"/>
        <w:snapToGrid w:val="0"/>
        <w:spacing w:line="360" w:lineRule="auto"/>
        <w:jc w:val="center"/>
        <w:outlineLvl w:val="0"/>
        <w:rPr>
          <w:rFonts w:hint="eastAsia" w:ascii="宋体" w:hAnsi="宋体" w:cs="宋体"/>
          <w:b/>
          <w:color w:val="auto"/>
          <w:sz w:val="32"/>
          <w:szCs w:val="32"/>
          <w:highlight w:val="none"/>
        </w:rPr>
      </w:pPr>
      <w:bookmarkStart w:id="70" w:name="_Toc16991"/>
      <w:bookmarkStart w:id="71" w:name="_Toc31251"/>
      <w:bookmarkStart w:id="72" w:name="_Toc16551"/>
      <w:bookmarkStart w:id="73" w:name="_Toc3483"/>
      <w:bookmarkStart w:id="74" w:name="_Toc1483432843"/>
      <w:bookmarkStart w:id="75" w:name="_Toc11065"/>
      <w:bookmarkStart w:id="76" w:name="_Toc23920"/>
      <w:r>
        <w:rPr>
          <w:rFonts w:hint="eastAsia" w:ascii="宋体" w:hAnsi="宋体" w:cs="宋体"/>
          <w:b/>
          <w:color w:val="auto"/>
          <w:sz w:val="32"/>
          <w:szCs w:val="32"/>
          <w:highlight w:val="none"/>
        </w:rPr>
        <w:t>第六章  采购项目实质性要求</w:t>
      </w:r>
      <w:bookmarkEnd w:id="70"/>
      <w:bookmarkEnd w:id="71"/>
      <w:bookmarkEnd w:id="72"/>
      <w:bookmarkEnd w:id="73"/>
      <w:bookmarkEnd w:id="74"/>
      <w:bookmarkEnd w:id="75"/>
      <w:bookmarkEnd w:id="76"/>
    </w:p>
    <w:p w14:paraId="5ED1BF5D">
      <w:pPr>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供应商资格必须符合国家有关规定和磋商采购文件资格性要求；若磋商结果无实质性变动,供应商必须满足采购文件规定的所有实质性要求，并且响应文件中不能附有采购人不能接受的条件。否则将视作无效文件处理。</w:t>
      </w:r>
    </w:p>
    <w:p w14:paraId="2FDD2BA2">
      <w:pPr>
        <w:spacing w:line="360" w:lineRule="auto"/>
        <w:jc w:val="left"/>
        <w:rPr>
          <w:rFonts w:hint="eastAsia" w:ascii="宋体" w:hAnsi="宋体" w:cs="宋体"/>
          <w:bCs/>
          <w:color w:val="auto"/>
          <w:sz w:val="24"/>
          <w:highlight w:val="none"/>
        </w:rPr>
      </w:pPr>
    </w:p>
    <w:p w14:paraId="6A994F3C">
      <w:pPr>
        <w:pStyle w:val="22"/>
        <w:rPr>
          <w:rFonts w:hint="eastAsia" w:ascii="宋体" w:hAnsi="宋体" w:eastAsia="宋体" w:cs="宋体"/>
          <w:bCs/>
          <w:color w:val="auto"/>
          <w:sz w:val="24"/>
          <w:highlight w:val="none"/>
        </w:rPr>
      </w:pPr>
    </w:p>
    <w:p w14:paraId="496AB161">
      <w:pPr>
        <w:rPr>
          <w:rFonts w:hint="eastAsia" w:ascii="宋体" w:hAnsi="宋体" w:cs="宋体"/>
          <w:bCs/>
          <w:color w:val="auto"/>
          <w:sz w:val="24"/>
          <w:highlight w:val="none"/>
        </w:rPr>
      </w:pPr>
    </w:p>
    <w:p w14:paraId="463B5235">
      <w:pPr>
        <w:pStyle w:val="22"/>
        <w:rPr>
          <w:rFonts w:hint="eastAsia"/>
          <w:color w:val="auto"/>
          <w:highlight w:val="none"/>
        </w:rPr>
      </w:pPr>
    </w:p>
    <w:p w14:paraId="237BDDAC">
      <w:pPr>
        <w:rPr>
          <w:rFonts w:hint="eastAsia"/>
          <w:color w:val="auto"/>
          <w:highlight w:val="none"/>
        </w:rPr>
      </w:pPr>
    </w:p>
    <w:p w14:paraId="3B19EE54">
      <w:pPr>
        <w:pStyle w:val="2"/>
        <w:rPr>
          <w:rFonts w:hint="eastAsia"/>
          <w:color w:val="auto"/>
          <w:highlight w:val="none"/>
        </w:rPr>
      </w:pPr>
    </w:p>
    <w:p w14:paraId="70117B24">
      <w:pPr>
        <w:rPr>
          <w:rFonts w:hint="eastAsia"/>
          <w:color w:val="auto"/>
          <w:highlight w:val="none"/>
        </w:rPr>
      </w:pPr>
    </w:p>
    <w:p w14:paraId="48A3D770">
      <w:pPr>
        <w:pStyle w:val="2"/>
        <w:rPr>
          <w:rFonts w:hint="eastAsia"/>
          <w:color w:val="auto"/>
          <w:highlight w:val="none"/>
        </w:rPr>
      </w:pPr>
    </w:p>
    <w:p w14:paraId="380C721A">
      <w:pPr>
        <w:rPr>
          <w:rFonts w:hint="eastAsia"/>
          <w:color w:val="auto"/>
          <w:highlight w:val="none"/>
        </w:rPr>
      </w:pPr>
    </w:p>
    <w:p w14:paraId="1349334A">
      <w:pPr>
        <w:pStyle w:val="2"/>
        <w:rPr>
          <w:rFonts w:hint="eastAsia"/>
          <w:color w:val="auto"/>
          <w:highlight w:val="none"/>
        </w:rPr>
      </w:pPr>
    </w:p>
    <w:p w14:paraId="4922E7F1">
      <w:pPr>
        <w:rPr>
          <w:rFonts w:hint="eastAsia"/>
          <w:color w:val="auto"/>
          <w:highlight w:val="none"/>
        </w:rPr>
      </w:pPr>
    </w:p>
    <w:p w14:paraId="104A33E6">
      <w:pPr>
        <w:pStyle w:val="2"/>
        <w:rPr>
          <w:rFonts w:hint="eastAsia"/>
          <w:color w:val="auto"/>
          <w:highlight w:val="none"/>
        </w:rPr>
      </w:pPr>
    </w:p>
    <w:p w14:paraId="3D14CE08">
      <w:pPr>
        <w:rPr>
          <w:rFonts w:hint="eastAsia"/>
          <w:color w:val="auto"/>
          <w:highlight w:val="none"/>
        </w:rPr>
      </w:pPr>
    </w:p>
    <w:p w14:paraId="632689EB">
      <w:pPr>
        <w:pStyle w:val="2"/>
        <w:rPr>
          <w:rFonts w:hint="eastAsia"/>
          <w:color w:val="auto"/>
          <w:highlight w:val="none"/>
        </w:rPr>
      </w:pPr>
    </w:p>
    <w:p w14:paraId="52CF3345">
      <w:pPr>
        <w:rPr>
          <w:rFonts w:hint="eastAsia"/>
          <w:color w:val="auto"/>
          <w:highlight w:val="none"/>
        </w:rPr>
      </w:pPr>
    </w:p>
    <w:p w14:paraId="08C2098E">
      <w:pPr>
        <w:pStyle w:val="2"/>
        <w:rPr>
          <w:rFonts w:hint="eastAsia"/>
          <w:color w:val="auto"/>
          <w:highlight w:val="none"/>
        </w:rPr>
      </w:pPr>
    </w:p>
    <w:p w14:paraId="21539EEF">
      <w:pPr>
        <w:rPr>
          <w:rFonts w:hint="eastAsia"/>
          <w:color w:val="auto"/>
          <w:highlight w:val="none"/>
        </w:rPr>
      </w:pPr>
    </w:p>
    <w:p w14:paraId="4EA4CA41">
      <w:pPr>
        <w:pStyle w:val="2"/>
        <w:rPr>
          <w:rFonts w:hint="eastAsia"/>
          <w:color w:val="auto"/>
          <w:highlight w:val="none"/>
        </w:rPr>
      </w:pPr>
    </w:p>
    <w:p w14:paraId="06D76932">
      <w:pPr>
        <w:rPr>
          <w:rFonts w:hint="eastAsia"/>
          <w:color w:val="auto"/>
          <w:highlight w:val="none"/>
        </w:rPr>
      </w:pPr>
    </w:p>
    <w:p w14:paraId="51A3C964">
      <w:pPr>
        <w:pStyle w:val="2"/>
        <w:rPr>
          <w:rFonts w:hint="eastAsia"/>
          <w:color w:val="auto"/>
          <w:highlight w:val="none"/>
        </w:rPr>
      </w:pPr>
    </w:p>
    <w:p w14:paraId="73EC4D5F">
      <w:pPr>
        <w:rPr>
          <w:rFonts w:hint="eastAsia"/>
          <w:color w:val="auto"/>
          <w:highlight w:val="none"/>
        </w:rPr>
      </w:pPr>
    </w:p>
    <w:p w14:paraId="224D85E7">
      <w:pPr>
        <w:pStyle w:val="2"/>
        <w:rPr>
          <w:rFonts w:hint="eastAsia"/>
          <w:color w:val="auto"/>
          <w:highlight w:val="none"/>
        </w:rPr>
      </w:pPr>
    </w:p>
    <w:p w14:paraId="4E8DDBC7">
      <w:pPr>
        <w:rPr>
          <w:rFonts w:hint="eastAsia"/>
          <w:color w:val="auto"/>
          <w:highlight w:val="none"/>
        </w:rPr>
      </w:pPr>
    </w:p>
    <w:p w14:paraId="61A84BA4">
      <w:pPr>
        <w:pStyle w:val="2"/>
        <w:rPr>
          <w:rFonts w:hint="eastAsia"/>
          <w:color w:val="auto"/>
          <w:highlight w:val="none"/>
        </w:rPr>
      </w:pPr>
    </w:p>
    <w:p w14:paraId="5EF5DA18">
      <w:pPr>
        <w:rPr>
          <w:rFonts w:hint="eastAsia"/>
          <w:color w:val="auto"/>
          <w:highlight w:val="none"/>
        </w:rPr>
      </w:pPr>
    </w:p>
    <w:p w14:paraId="52437749">
      <w:pPr>
        <w:pStyle w:val="2"/>
        <w:rPr>
          <w:rFonts w:hint="eastAsia"/>
          <w:color w:val="auto"/>
          <w:highlight w:val="none"/>
        </w:rPr>
      </w:pPr>
    </w:p>
    <w:p w14:paraId="2C36568B">
      <w:pPr>
        <w:rPr>
          <w:rFonts w:hint="eastAsia"/>
          <w:color w:val="auto"/>
          <w:highlight w:val="none"/>
        </w:rPr>
      </w:pPr>
    </w:p>
    <w:p w14:paraId="34957A31">
      <w:pPr>
        <w:pStyle w:val="2"/>
        <w:rPr>
          <w:rFonts w:hint="eastAsia"/>
          <w:color w:val="auto"/>
          <w:highlight w:val="none"/>
        </w:rPr>
      </w:pPr>
    </w:p>
    <w:p w14:paraId="72FA514D">
      <w:pPr>
        <w:rPr>
          <w:rFonts w:hint="eastAsia"/>
          <w:color w:val="auto"/>
          <w:highlight w:val="none"/>
        </w:rPr>
      </w:pPr>
    </w:p>
    <w:p w14:paraId="4D05968D">
      <w:pPr>
        <w:pStyle w:val="2"/>
        <w:rPr>
          <w:rFonts w:hint="eastAsia"/>
          <w:color w:val="auto"/>
          <w:highlight w:val="none"/>
        </w:rPr>
      </w:pPr>
    </w:p>
    <w:p w14:paraId="23D716BC">
      <w:pPr>
        <w:rPr>
          <w:rFonts w:hint="eastAsia"/>
        </w:rPr>
      </w:pPr>
    </w:p>
    <w:p w14:paraId="026EF273">
      <w:pPr>
        <w:adjustRightInd w:val="0"/>
        <w:snapToGrid w:val="0"/>
        <w:spacing w:line="360" w:lineRule="auto"/>
        <w:jc w:val="center"/>
        <w:outlineLvl w:val="0"/>
        <w:rPr>
          <w:rFonts w:hint="eastAsia" w:ascii="宋体" w:hAnsi="宋体" w:cs="宋体"/>
          <w:b/>
          <w:color w:val="auto"/>
          <w:sz w:val="32"/>
          <w:szCs w:val="32"/>
          <w:highlight w:val="none"/>
        </w:rPr>
      </w:pPr>
      <w:bookmarkStart w:id="77" w:name="_Toc17907"/>
      <w:bookmarkStart w:id="78" w:name="_Toc15281"/>
      <w:bookmarkStart w:id="79" w:name="_Toc103777920"/>
      <w:bookmarkStart w:id="80" w:name="_Toc21776"/>
      <w:bookmarkStart w:id="81" w:name="_Toc1567"/>
      <w:bookmarkStart w:id="82" w:name="_Toc1386800941"/>
      <w:bookmarkStart w:id="83" w:name="_Toc28321"/>
      <w:bookmarkStart w:id="84" w:name="_Toc23130"/>
      <w:bookmarkStart w:id="85" w:name="_Toc12821"/>
      <w:r>
        <w:rPr>
          <w:rFonts w:hint="eastAsia" w:ascii="宋体" w:hAnsi="宋体" w:cs="宋体"/>
          <w:b/>
          <w:color w:val="auto"/>
          <w:sz w:val="32"/>
          <w:szCs w:val="32"/>
          <w:highlight w:val="none"/>
        </w:rPr>
        <w:t>第七章  磋商内容、磋商过程中可实质性变动的内容</w:t>
      </w:r>
      <w:bookmarkEnd w:id="77"/>
      <w:bookmarkEnd w:id="78"/>
      <w:bookmarkEnd w:id="79"/>
      <w:bookmarkEnd w:id="80"/>
      <w:bookmarkEnd w:id="81"/>
    </w:p>
    <w:p w14:paraId="2A4C746A">
      <w:pPr>
        <w:adjustRightInd w:val="0"/>
        <w:snapToGrid w:val="0"/>
        <w:spacing w:line="360" w:lineRule="auto"/>
        <w:ind w:firstLine="361" w:firstLineChars="150"/>
        <w:jc w:val="left"/>
        <w:rPr>
          <w:rFonts w:hint="eastAsia" w:ascii="宋体" w:hAnsi="宋体" w:cs="宋体"/>
          <w:b/>
          <w:color w:val="auto"/>
          <w:sz w:val="24"/>
          <w:highlight w:val="none"/>
        </w:rPr>
      </w:pPr>
      <w:r>
        <w:rPr>
          <w:rFonts w:hint="eastAsia" w:ascii="宋体" w:hAnsi="宋体" w:cs="宋体"/>
          <w:b/>
          <w:color w:val="auto"/>
          <w:sz w:val="24"/>
          <w:highlight w:val="none"/>
        </w:rPr>
        <w:t>一、磋商内容</w:t>
      </w:r>
    </w:p>
    <w:p w14:paraId="558783AD">
      <w:pPr>
        <w:spacing w:line="360" w:lineRule="auto"/>
        <w:ind w:firstLine="360" w:firstLineChars="150"/>
        <w:jc w:val="left"/>
        <w:rPr>
          <w:rFonts w:hint="eastAsia" w:ascii="宋体" w:hAnsi="宋体"/>
          <w:bCs/>
          <w:color w:val="auto"/>
          <w:sz w:val="24"/>
          <w:highlight w:val="none"/>
        </w:rPr>
      </w:pPr>
      <w:r>
        <w:rPr>
          <w:rFonts w:hint="eastAsia" w:ascii="宋体" w:hAnsi="宋体"/>
          <w:bCs/>
          <w:color w:val="auto"/>
          <w:sz w:val="24"/>
          <w:highlight w:val="none"/>
        </w:rPr>
        <w:t>1.供应商提供的采购标的价格。</w:t>
      </w:r>
    </w:p>
    <w:p w14:paraId="59C4A7AE">
      <w:pPr>
        <w:spacing w:line="360" w:lineRule="auto"/>
        <w:ind w:firstLine="360" w:firstLineChars="150"/>
        <w:jc w:val="left"/>
        <w:rPr>
          <w:rFonts w:hint="eastAsia" w:ascii="宋体" w:hAnsi="宋体"/>
          <w:bCs/>
          <w:color w:val="auto"/>
          <w:sz w:val="24"/>
          <w:highlight w:val="none"/>
        </w:rPr>
      </w:pPr>
      <w:r>
        <w:rPr>
          <w:rFonts w:hint="eastAsia" w:ascii="宋体" w:hAnsi="宋体"/>
          <w:bCs/>
          <w:color w:val="auto"/>
          <w:sz w:val="24"/>
          <w:highlight w:val="none"/>
        </w:rPr>
        <w:t>2.供应商是否</w:t>
      </w:r>
      <w:r>
        <w:rPr>
          <w:rFonts w:hint="eastAsia" w:ascii="宋体" w:hAnsi="宋体" w:cs="宋体"/>
          <w:color w:val="auto"/>
          <w:sz w:val="24"/>
          <w:highlight w:val="none"/>
        </w:rPr>
        <w:t>符合国家相关标准</w:t>
      </w:r>
      <w:r>
        <w:rPr>
          <w:rFonts w:hint="eastAsia" w:ascii="宋体" w:hAnsi="宋体"/>
          <w:bCs/>
          <w:color w:val="auto"/>
          <w:sz w:val="24"/>
          <w:highlight w:val="none"/>
        </w:rPr>
        <w:t>、商务要求等情况。</w:t>
      </w:r>
    </w:p>
    <w:p w14:paraId="33A0F1A4">
      <w:pPr>
        <w:spacing w:line="360" w:lineRule="auto"/>
        <w:ind w:firstLine="360" w:firstLineChars="150"/>
        <w:jc w:val="left"/>
        <w:rPr>
          <w:rFonts w:hint="eastAsia" w:ascii="宋体" w:hAnsi="宋体"/>
          <w:bCs/>
          <w:color w:val="auto"/>
          <w:sz w:val="24"/>
          <w:highlight w:val="none"/>
        </w:rPr>
      </w:pPr>
      <w:r>
        <w:rPr>
          <w:rFonts w:hint="eastAsia" w:ascii="宋体" w:hAnsi="宋体"/>
          <w:bCs/>
          <w:color w:val="auto"/>
          <w:sz w:val="24"/>
          <w:highlight w:val="none"/>
        </w:rPr>
        <w:t>3.合同主要条款及价格商定情况。</w:t>
      </w:r>
    </w:p>
    <w:p w14:paraId="2A47C5F1">
      <w:pPr>
        <w:adjustRightInd w:val="0"/>
        <w:snapToGrid w:val="0"/>
        <w:spacing w:line="360" w:lineRule="auto"/>
        <w:ind w:firstLine="361" w:firstLineChars="150"/>
        <w:jc w:val="left"/>
        <w:rPr>
          <w:rFonts w:hint="eastAsia" w:ascii="宋体" w:hAnsi="宋体" w:cs="宋体"/>
          <w:b/>
          <w:color w:val="auto"/>
          <w:sz w:val="24"/>
          <w:highlight w:val="none"/>
        </w:rPr>
      </w:pPr>
      <w:r>
        <w:rPr>
          <w:rFonts w:hint="eastAsia" w:ascii="宋体" w:hAnsi="宋体" w:cs="宋体"/>
          <w:b/>
          <w:color w:val="auto"/>
          <w:sz w:val="24"/>
          <w:highlight w:val="none"/>
        </w:rPr>
        <w:t>二、磋商过程中可能实质性变动的内容</w:t>
      </w:r>
    </w:p>
    <w:p w14:paraId="5A60958A">
      <w:pPr>
        <w:spacing w:line="360" w:lineRule="auto"/>
        <w:ind w:firstLine="360" w:firstLineChars="150"/>
        <w:jc w:val="left"/>
        <w:rPr>
          <w:rFonts w:hint="eastAsia" w:ascii="宋体" w:hAnsi="宋体"/>
          <w:bCs/>
          <w:color w:val="auto"/>
          <w:sz w:val="24"/>
          <w:highlight w:val="none"/>
        </w:rPr>
      </w:pPr>
      <w:r>
        <w:rPr>
          <w:rFonts w:hint="eastAsia" w:ascii="宋体" w:hAnsi="宋体"/>
          <w:bCs/>
          <w:color w:val="auto"/>
          <w:sz w:val="24"/>
          <w:highlight w:val="none"/>
        </w:rPr>
        <w:t>1、供应商报价。</w:t>
      </w:r>
    </w:p>
    <w:p w14:paraId="11C4AAB5">
      <w:pPr>
        <w:spacing w:line="360" w:lineRule="auto"/>
        <w:ind w:firstLine="360" w:firstLineChars="150"/>
        <w:jc w:val="left"/>
        <w:rPr>
          <w:rFonts w:hint="eastAsia" w:ascii="宋体" w:hAnsi="宋体"/>
          <w:bCs/>
          <w:color w:val="auto"/>
          <w:sz w:val="24"/>
          <w:highlight w:val="none"/>
        </w:rPr>
      </w:pPr>
      <w:r>
        <w:rPr>
          <w:rFonts w:hint="eastAsia" w:ascii="宋体" w:hAnsi="宋体"/>
          <w:bCs/>
          <w:color w:val="auto"/>
          <w:sz w:val="24"/>
          <w:highlight w:val="none"/>
        </w:rPr>
        <w:t>2、采购需求中的技术、商务、服务要求以及合同样例条款等。实质性变动的内容，须经磋商小组中的采购人代表确认。</w:t>
      </w:r>
    </w:p>
    <w:p w14:paraId="63DC9F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150"/>
        <w:jc w:val="center"/>
        <w:textAlignment w:val="auto"/>
        <w:outlineLvl w:val="0"/>
        <w:rPr>
          <w:rFonts w:hint="eastAsia" w:ascii="宋体" w:hAnsi="宋体" w:cs="宋体"/>
          <w:bCs/>
          <w:color w:val="auto"/>
          <w:sz w:val="32"/>
          <w:szCs w:val="32"/>
          <w:highlight w:val="none"/>
        </w:rPr>
      </w:pPr>
      <w:r>
        <w:rPr>
          <w:rFonts w:hint="eastAsia" w:ascii="宋体" w:hAnsi="宋体" w:cs="宋体"/>
          <w:bCs/>
          <w:color w:val="auto"/>
          <w:sz w:val="32"/>
          <w:szCs w:val="32"/>
          <w:highlight w:val="none"/>
        </w:rPr>
        <w:br w:type="page"/>
      </w:r>
      <w:bookmarkEnd w:id="82"/>
      <w:bookmarkEnd w:id="83"/>
      <w:bookmarkEnd w:id="84"/>
      <w:bookmarkEnd w:id="85"/>
      <w:bookmarkStart w:id="86" w:name="_Toc27233"/>
      <w:bookmarkStart w:id="87" w:name="_Toc21450"/>
      <w:bookmarkStart w:id="88" w:name="_Toc12753"/>
      <w:bookmarkStart w:id="89" w:name="_Toc16424"/>
      <w:r>
        <w:rPr>
          <w:rFonts w:hint="eastAsia" w:ascii="宋体" w:hAnsi="宋体" w:cs="宋体"/>
          <w:b/>
          <w:color w:val="auto"/>
          <w:sz w:val="32"/>
          <w:szCs w:val="32"/>
          <w:highlight w:val="none"/>
        </w:rPr>
        <w:t>第八章  响应文件格式</w:t>
      </w:r>
      <w:bookmarkEnd w:id="86"/>
      <w:bookmarkEnd w:id="87"/>
      <w:bookmarkEnd w:id="88"/>
      <w:bookmarkEnd w:id="89"/>
    </w:p>
    <w:p w14:paraId="1B38D842">
      <w:pPr>
        <w:adjustRightInd w:val="0"/>
        <w:snapToGrid w:val="0"/>
        <w:spacing w:line="360" w:lineRule="auto"/>
        <w:ind w:firstLine="360" w:firstLineChars="150"/>
        <w:jc w:val="left"/>
        <w:rPr>
          <w:rFonts w:hint="eastAsia" w:ascii="宋体" w:hAnsi="宋体" w:cs="宋体"/>
          <w:bCs/>
          <w:color w:val="auto"/>
          <w:sz w:val="24"/>
          <w:highlight w:val="none"/>
        </w:rPr>
      </w:pPr>
    </w:p>
    <w:p w14:paraId="3E3556B7">
      <w:pPr>
        <w:spacing w:line="360" w:lineRule="auto"/>
        <w:ind w:firstLine="360" w:firstLineChars="150"/>
        <w:jc w:val="left"/>
        <w:rPr>
          <w:rFonts w:hint="eastAsia" w:ascii="宋体" w:hAnsi="宋体" w:cs="宋体"/>
          <w:bCs/>
          <w:color w:val="auto"/>
          <w:sz w:val="24"/>
          <w:highlight w:val="none"/>
        </w:rPr>
      </w:pPr>
      <w:r>
        <w:rPr>
          <w:rFonts w:hint="eastAsia" w:ascii="宋体" w:hAnsi="宋体" w:cs="宋体"/>
          <w:bCs/>
          <w:color w:val="auto"/>
          <w:sz w:val="24"/>
          <w:highlight w:val="none"/>
        </w:rPr>
        <w:t>一、本章所制响应文件格式，除格式中明确将该格式作为实质性要求的，一律不具有强制性。</w:t>
      </w:r>
    </w:p>
    <w:p w14:paraId="66FEA0BE">
      <w:pPr>
        <w:spacing w:line="360" w:lineRule="auto"/>
        <w:ind w:firstLine="360" w:firstLineChars="150"/>
        <w:jc w:val="left"/>
        <w:rPr>
          <w:rFonts w:hint="eastAsia" w:ascii="宋体" w:hAnsi="宋体" w:cs="宋体"/>
          <w:bCs/>
          <w:color w:val="auto"/>
          <w:sz w:val="24"/>
          <w:highlight w:val="none"/>
        </w:rPr>
      </w:pPr>
      <w:r>
        <w:rPr>
          <w:rFonts w:hint="eastAsia" w:ascii="宋体" w:hAnsi="宋体" w:cs="宋体"/>
          <w:bCs/>
          <w:color w:val="auto"/>
          <w:sz w:val="24"/>
          <w:highlight w:val="none"/>
        </w:rPr>
        <w:t>二、本章所制响应文件格式有关表格中的备注栏，由供应商根据自身响应情况作解释性说明，不作为必填项。（如果供应商响应文件中已经去掉备注而无其他解释性说明，则视为完全理解并同意备注中的要求）。</w:t>
      </w:r>
    </w:p>
    <w:p w14:paraId="39151F4D">
      <w:pPr>
        <w:spacing w:line="360" w:lineRule="auto"/>
        <w:ind w:firstLine="360" w:firstLineChars="150"/>
        <w:jc w:val="left"/>
        <w:rPr>
          <w:rFonts w:hint="eastAsia" w:ascii="宋体" w:hAnsi="宋体" w:cs="宋体"/>
          <w:color w:val="auto"/>
          <w:highlight w:val="none"/>
        </w:rPr>
      </w:pPr>
      <w:r>
        <w:rPr>
          <w:rFonts w:hint="eastAsia" w:ascii="宋体" w:hAnsi="宋体" w:cs="宋体"/>
          <w:bCs/>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0AF3469B">
      <w:pPr>
        <w:pStyle w:val="5"/>
        <w:tabs>
          <w:tab w:val="left" w:pos="709"/>
        </w:tabs>
        <w:jc w:val="center"/>
        <w:rPr>
          <w:color w:val="auto"/>
        </w:rPr>
      </w:pPr>
      <w:r>
        <w:rPr>
          <w:rFonts w:hint="eastAsia" w:ascii="宋体" w:hAnsi="宋体" w:cs="宋体"/>
          <w:b w:val="0"/>
          <w:color w:val="auto"/>
          <w:sz w:val="32"/>
          <w:szCs w:val="32"/>
          <w:highlight w:val="none"/>
        </w:rPr>
        <w:br w:type="page"/>
      </w:r>
      <w:r>
        <w:rPr>
          <w:rFonts w:hint="eastAsia" w:ascii="宋体" w:hAnsi="宋体" w:cs="宋体"/>
          <w:b w:val="0"/>
          <w:color w:val="auto"/>
          <w:sz w:val="32"/>
          <w:szCs w:val="32"/>
          <w:highlight w:val="none"/>
          <w:lang w:val="en-US" w:eastAsia="zh-CN"/>
        </w:rPr>
        <w:t>一、</w:t>
      </w:r>
      <w:r>
        <w:rPr>
          <w:rFonts w:hint="eastAsia" w:cs="宋体"/>
          <w:color w:val="auto"/>
        </w:rPr>
        <w:t>法定代表人身份证明书</w:t>
      </w:r>
    </w:p>
    <w:p w14:paraId="466FB76F">
      <w:pPr>
        <w:rPr>
          <w:color w:val="auto"/>
        </w:rPr>
      </w:pPr>
    </w:p>
    <w:p w14:paraId="526638DF">
      <w:pPr>
        <w:tabs>
          <w:tab w:val="left" w:pos="6300"/>
        </w:tabs>
        <w:spacing w:line="360" w:lineRule="auto"/>
        <w:ind w:firstLine="573"/>
        <w:rPr>
          <w:rFonts w:ascii="宋体"/>
          <w:color w:val="auto"/>
          <w:sz w:val="24"/>
          <w:szCs w:val="24"/>
          <w:lang w:val="zh-CN"/>
        </w:rPr>
      </w:pPr>
      <w:r>
        <w:rPr>
          <w:rFonts w:hint="eastAsia" w:ascii="宋体" w:hAnsi="宋体" w:cs="宋体"/>
          <w:color w:val="auto"/>
          <w:sz w:val="24"/>
          <w:szCs w:val="24"/>
          <w:u w:val="single"/>
          <w:lang w:val="zh-CN"/>
        </w:rPr>
        <w:t>（法定代表人姓名）</w:t>
      </w:r>
      <w:r>
        <w:rPr>
          <w:rFonts w:hint="eastAsia" w:ascii="宋体" w:hAnsi="宋体" w:cs="宋体"/>
          <w:color w:val="auto"/>
          <w:sz w:val="24"/>
          <w:szCs w:val="24"/>
          <w:lang w:val="zh-CN"/>
        </w:rPr>
        <w:t>在</w:t>
      </w:r>
      <w:r>
        <w:rPr>
          <w:rFonts w:hint="eastAsia" w:ascii="宋体" w:hAnsi="宋体" w:cs="宋体"/>
          <w:color w:val="auto"/>
          <w:sz w:val="24"/>
          <w:szCs w:val="24"/>
          <w:u w:val="single"/>
          <w:lang w:val="zh-CN"/>
        </w:rPr>
        <w:t>（供应商名称）</w:t>
      </w:r>
      <w:r>
        <w:rPr>
          <w:rFonts w:hint="eastAsia" w:ascii="宋体" w:hAnsi="宋体" w:cs="宋体"/>
          <w:color w:val="auto"/>
          <w:sz w:val="24"/>
          <w:szCs w:val="24"/>
          <w:lang w:val="zh-CN"/>
        </w:rPr>
        <w:t>处任</w:t>
      </w:r>
      <w:r>
        <w:rPr>
          <w:rFonts w:hint="eastAsia" w:ascii="宋体" w:hAnsi="宋体" w:cs="宋体"/>
          <w:color w:val="auto"/>
          <w:sz w:val="24"/>
          <w:szCs w:val="24"/>
          <w:u w:val="single"/>
          <w:lang w:val="zh-CN"/>
        </w:rPr>
        <w:t>（职务名称）</w:t>
      </w:r>
      <w:r>
        <w:rPr>
          <w:rFonts w:hint="eastAsia" w:ascii="宋体" w:hAnsi="宋体" w:cs="宋体"/>
          <w:color w:val="auto"/>
          <w:sz w:val="24"/>
          <w:szCs w:val="24"/>
          <w:lang w:val="zh-CN"/>
        </w:rPr>
        <w:t>职务，是</w:t>
      </w:r>
      <w:r>
        <w:rPr>
          <w:rFonts w:hint="eastAsia" w:ascii="宋体" w:hAnsi="宋体" w:cs="宋体"/>
          <w:color w:val="auto"/>
          <w:sz w:val="24"/>
          <w:szCs w:val="24"/>
          <w:u w:val="single"/>
          <w:lang w:val="zh-CN"/>
        </w:rPr>
        <w:t>（供应商名称）</w:t>
      </w:r>
      <w:r>
        <w:rPr>
          <w:rFonts w:hint="eastAsia" w:ascii="宋体" w:hAnsi="宋体" w:cs="宋体"/>
          <w:color w:val="auto"/>
          <w:sz w:val="24"/>
          <w:szCs w:val="24"/>
          <w:lang w:val="zh-CN"/>
        </w:rPr>
        <w:t>的法定代表人。</w:t>
      </w:r>
    </w:p>
    <w:p w14:paraId="6C27EB58">
      <w:pPr>
        <w:tabs>
          <w:tab w:val="left" w:pos="6300"/>
        </w:tabs>
        <w:spacing w:line="360" w:lineRule="auto"/>
        <w:ind w:firstLine="573"/>
        <w:rPr>
          <w:rFonts w:ascii="宋体"/>
          <w:color w:val="auto"/>
          <w:sz w:val="24"/>
          <w:szCs w:val="24"/>
          <w:lang w:val="zh-CN"/>
        </w:rPr>
      </w:pPr>
      <w:r>
        <w:rPr>
          <w:rFonts w:hint="eastAsia" w:ascii="宋体" w:hAnsi="宋体" w:cs="宋体"/>
          <w:color w:val="auto"/>
          <w:sz w:val="24"/>
          <w:szCs w:val="24"/>
          <w:lang w:val="zh-CN"/>
        </w:rPr>
        <w:t>特此证明。</w:t>
      </w:r>
    </w:p>
    <w:p w14:paraId="06CCA59B">
      <w:pPr>
        <w:tabs>
          <w:tab w:val="left" w:pos="6300"/>
        </w:tabs>
        <w:spacing w:line="360" w:lineRule="auto"/>
        <w:ind w:firstLine="573"/>
        <w:rPr>
          <w:rFonts w:ascii="宋体"/>
          <w:color w:val="auto"/>
          <w:sz w:val="24"/>
          <w:szCs w:val="24"/>
          <w:lang w:val="zh-CN"/>
        </w:rPr>
      </w:pPr>
    </w:p>
    <w:p w14:paraId="55416829">
      <w:pPr>
        <w:tabs>
          <w:tab w:val="left" w:pos="6300"/>
        </w:tabs>
        <w:spacing w:line="360" w:lineRule="auto"/>
        <w:ind w:firstLine="573"/>
        <w:rPr>
          <w:rFonts w:ascii="宋体"/>
          <w:color w:val="auto"/>
          <w:sz w:val="24"/>
          <w:szCs w:val="24"/>
          <w:lang w:val="zh-CN"/>
        </w:rPr>
      </w:pPr>
    </w:p>
    <w:p w14:paraId="2EBD2ACD">
      <w:pPr>
        <w:tabs>
          <w:tab w:val="left" w:pos="6300"/>
        </w:tabs>
        <w:spacing w:line="360" w:lineRule="auto"/>
        <w:ind w:firstLine="573"/>
        <w:rPr>
          <w:rFonts w:ascii="宋体"/>
          <w:color w:val="auto"/>
          <w:sz w:val="24"/>
          <w:szCs w:val="24"/>
          <w:lang w:val="zh-CN"/>
        </w:rPr>
      </w:pPr>
    </w:p>
    <w:p w14:paraId="0892515E">
      <w:pPr>
        <w:wordWrap w:val="0"/>
        <w:spacing w:line="360" w:lineRule="auto"/>
        <w:jc w:val="right"/>
        <w:rPr>
          <w:rFonts w:ascii="宋体"/>
          <w:color w:val="auto"/>
          <w:sz w:val="24"/>
          <w:szCs w:val="24"/>
        </w:rPr>
      </w:pPr>
      <w:r>
        <w:rPr>
          <w:rFonts w:hint="eastAsia" w:ascii="宋体" w:hAnsi="宋体" w:cs="宋体"/>
          <w:color w:val="auto"/>
          <w:sz w:val="24"/>
          <w:szCs w:val="24"/>
          <w:lang w:val="zh-CN"/>
        </w:rPr>
        <w:t>供应商名称：</w:t>
      </w:r>
      <w:r>
        <w:rPr>
          <w:rFonts w:ascii="宋体" w:hAnsi="宋体" w:cs="宋体"/>
          <w:color w:val="auto"/>
          <w:sz w:val="24"/>
          <w:szCs w:val="24"/>
          <w:u w:val="single"/>
          <w:lang w:val="zh-CN"/>
        </w:rPr>
        <w:t>XXXX</w:t>
      </w:r>
      <w:r>
        <w:rPr>
          <w:rFonts w:hint="eastAsia" w:ascii="宋体" w:hAnsi="宋体" w:cs="宋体"/>
          <w:color w:val="auto"/>
          <w:sz w:val="24"/>
          <w:szCs w:val="24"/>
          <w:lang w:val="zh-CN"/>
        </w:rPr>
        <w:t>（加盖公章）</w:t>
      </w:r>
    </w:p>
    <w:p w14:paraId="200DC50D">
      <w:pPr>
        <w:spacing w:line="500" w:lineRule="exact"/>
        <w:ind w:right="560"/>
        <w:jc w:val="right"/>
        <w:rPr>
          <w:rFonts w:ascii="宋体"/>
          <w:color w:val="auto"/>
          <w:sz w:val="24"/>
          <w:szCs w:val="24"/>
        </w:rPr>
      </w:pPr>
      <w:r>
        <w:rPr>
          <w:rFonts w:hint="eastAsia" w:ascii="宋体" w:hAnsi="宋体" w:cs="宋体"/>
          <w:color w:val="auto"/>
          <w:sz w:val="24"/>
          <w:szCs w:val="24"/>
        </w:rPr>
        <w:t>日期：</w:t>
      </w:r>
      <w:r>
        <w:rPr>
          <w:rFonts w:ascii="宋体" w:hAnsi="宋体" w:cs="宋体"/>
          <w:color w:val="auto"/>
          <w:sz w:val="24"/>
          <w:szCs w:val="24"/>
          <w:u w:val="single"/>
        </w:rPr>
        <w:t>XX</w:t>
      </w:r>
      <w:r>
        <w:rPr>
          <w:rFonts w:hint="eastAsia" w:ascii="宋体" w:hAnsi="宋体" w:cs="宋体"/>
          <w:color w:val="auto"/>
          <w:sz w:val="24"/>
          <w:szCs w:val="24"/>
        </w:rPr>
        <w:t>年</w:t>
      </w:r>
      <w:r>
        <w:rPr>
          <w:rFonts w:ascii="宋体" w:hAnsi="宋体" w:cs="宋体"/>
          <w:color w:val="auto"/>
          <w:sz w:val="24"/>
          <w:szCs w:val="24"/>
          <w:u w:val="single"/>
        </w:rPr>
        <w:t>XX</w:t>
      </w:r>
      <w:r>
        <w:rPr>
          <w:rFonts w:hint="eastAsia" w:ascii="宋体" w:hAnsi="宋体" w:cs="宋体"/>
          <w:color w:val="auto"/>
          <w:sz w:val="24"/>
          <w:szCs w:val="24"/>
        </w:rPr>
        <w:t>月</w:t>
      </w:r>
      <w:r>
        <w:rPr>
          <w:rFonts w:ascii="宋体" w:hAnsi="宋体" w:cs="宋体"/>
          <w:color w:val="auto"/>
          <w:sz w:val="24"/>
          <w:szCs w:val="24"/>
          <w:u w:val="single"/>
        </w:rPr>
        <w:t>XX</w:t>
      </w:r>
      <w:r>
        <w:rPr>
          <w:rFonts w:hint="eastAsia" w:ascii="宋体" w:hAnsi="宋体" w:cs="宋体"/>
          <w:color w:val="auto"/>
          <w:sz w:val="24"/>
          <w:szCs w:val="24"/>
        </w:rPr>
        <w:t>日</w:t>
      </w:r>
    </w:p>
    <w:p w14:paraId="6A9CF2A0">
      <w:pPr>
        <w:spacing w:line="500" w:lineRule="exact"/>
        <w:ind w:right="560"/>
        <w:jc w:val="right"/>
        <w:rPr>
          <w:rFonts w:ascii="宋体"/>
          <w:color w:val="auto"/>
          <w:sz w:val="24"/>
          <w:szCs w:val="24"/>
        </w:rPr>
      </w:pPr>
    </w:p>
    <w:p w14:paraId="7E382276">
      <w:pPr>
        <w:spacing w:line="500" w:lineRule="exact"/>
        <w:ind w:right="560"/>
        <w:jc w:val="right"/>
        <w:rPr>
          <w:rFonts w:ascii="宋体"/>
          <w:color w:val="auto"/>
          <w:sz w:val="24"/>
          <w:szCs w:val="24"/>
        </w:rPr>
      </w:pPr>
    </w:p>
    <w:p w14:paraId="76027BA4">
      <w:pPr>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附：法定代表人、授权代表身份证复印件加盖公司鲜章。</w:t>
      </w:r>
    </w:p>
    <w:p w14:paraId="247F0FBF">
      <w:pPr>
        <w:spacing w:line="360" w:lineRule="auto"/>
        <w:ind w:firstLine="360" w:firstLineChars="150"/>
        <w:jc w:val="left"/>
        <w:rPr>
          <w:rFonts w:hint="eastAsia" w:ascii="宋体" w:hAnsi="宋体" w:eastAsia="宋体" w:cs="宋体"/>
          <w:color w:val="auto"/>
          <w:sz w:val="24"/>
          <w:highlight w:val="none"/>
        </w:rPr>
      </w:pPr>
    </w:p>
    <w:p w14:paraId="2F6A4098">
      <w:pPr>
        <w:spacing w:line="360" w:lineRule="auto"/>
        <w:ind w:firstLine="360" w:firstLineChars="15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注</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供应商法定代表人亲自参加磋商时适用</w:t>
      </w:r>
      <w:r>
        <w:rPr>
          <w:rFonts w:hint="eastAsia" w:ascii="宋体" w:hAnsi="宋体" w:eastAsia="宋体" w:cs="宋体"/>
          <w:color w:val="auto"/>
          <w:sz w:val="24"/>
          <w:highlight w:val="none"/>
          <w:lang w:val="zh-CN"/>
        </w:rPr>
        <w:t>。</w:t>
      </w:r>
    </w:p>
    <w:p w14:paraId="2A761529">
      <w:pPr>
        <w:spacing w:line="360" w:lineRule="auto"/>
        <w:ind w:firstLine="480" w:firstLineChars="150"/>
        <w:jc w:val="left"/>
        <w:rPr>
          <w:rFonts w:hint="eastAsia" w:ascii="宋体" w:hAnsi="宋体" w:cs="宋体"/>
          <w:color w:val="auto"/>
          <w:sz w:val="32"/>
          <w:highlight w:val="none"/>
        </w:rPr>
      </w:pPr>
    </w:p>
    <w:p w14:paraId="51145066">
      <w:pPr>
        <w:spacing w:line="360" w:lineRule="auto"/>
        <w:ind w:firstLine="480" w:firstLineChars="150"/>
        <w:jc w:val="left"/>
        <w:rPr>
          <w:rFonts w:hint="eastAsia" w:ascii="宋体" w:hAnsi="宋体" w:cs="宋体"/>
          <w:color w:val="auto"/>
          <w:sz w:val="32"/>
          <w:highlight w:val="none"/>
        </w:rPr>
      </w:pPr>
    </w:p>
    <w:p w14:paraId="53793D5E">
      <w:pPr>
        <w:spacing w:line="360" w:lineRule="auto"/>
        <w:ind w:firstLine="482" w:firstLineChars="150"/>
        <w:jc w:val="left"/>
        <w:rPr>
          <w:rFonts w:hint="eastAsia" w:ascii="宋体" w:hAnsi="宋体" w:cs="宋体"/>
          <w:b/>
          <w:color w:val="auto"/>
          <w:sz w:val="32"/>
          <w:szCs w:val="32"/>
          <w:highlight w:val="none"/>
        </w:rPr>
      </w:pPr>
    </w:p>
    <w:p w14:paraId="57ECA07E">
      <w:pPr>
        <w:pStyle w:val="11"/>
        <w:rPr>
          <w:rFonts w:hint="eastAsia" w:ascii="宋体" w:hAnsi="宋体" w:cs="宋体"/>
          <w:b/>
          <w:color w:val="auto"/>
          <w:sz w:val="32"/>
          <w:szCs w:val="32"/>
          <w:highlight w:val="none"/>
        </w:rPr>
      </w:pPr>
    </w:p>
    <w:p w14:paraId="601EB316">
      <w:pPr>
        <w:rPr>
          <w:rFonts w:hint="eastAsia" w:ascii="宋体" w:hAnsi="宋体" w:cs="宋体"/>
          <w:b/>
          <w:color w:val="auto"/>
          <w:sz w:val="32"/>
          <w:szCs w:val="32"/>
          <w:highlight w:val="none"/>
        </w:rPr>
      </w:pPr>
    </w:p>
    <w:p w14:paraId="0E906976">
      <w:pPr>
        <w:pStyle w:val="11"/>
        <w:rPr>
          <w:rFonts w:hint="eastAsia" w:ascii="宋体" w:hAnsi="宋体" w:cs="宋体"/>
          <w:b/>
          <w:color w:val="auto"/>
          <w:sz w:val="32"/>
          <w:szCs w:val="32"/>
          <w:highlight w:val="none"/>
        </w:rPr>
      </w:pPr>
    </w:p>
    <w:p w14:paraId="559E1FEB">
      <w:pPr>
        <w:rPr>
          <w:rFonts w:hint="eastAsia" w:ascii="宋体" w:hAnsi="宋体" w:cs="宋体"/>
          <w:b/>
          <w:color w:val="auto"/>
          <w:sz w:val="32"/>
          <w:szCs w:val="32"/>
          <w:highlight w:val="none"/>
        </w:rPr>
      </w:pPr>
    </w:p>
    <w:p w14:paraId="10F54C72">
      <w:pPr>
        <w:spacing w:line="360" w:lineRule="auto"/>
        <w:jc w:val="center"/>
        <w:rPr>
          <w:rFonts w:hint="eastAsia" w:ascii="宋体" w:hAnsi="宋体" w:cs="宋体"/>
          <w:b/>
          <w:color w:val="auto"/>
          <w:sz w:val="32"/>
          <w:szCs w:val="32"/>
          <w:highlight w:val="none"/>
        </w:rPr>
      </w:pPr>
      <w:r>
        <w:rPr>
          <w:rFonts w:hint="eastAsia"/>
          <w:color w:val="auto"/>
          <w:highlight w:val="none"/>
        </w:rPr>
        <w:br w:type="page"/>
      </w:r>
      <w:r>
        <w:rPr>
          <w:rFonts w:hint="eastAsia" w:ascii="宋体" w:hAnsi="宋体" w:eastAsia="宋体" w:cs="宋体"/>
          <w:b/>
          <w:color w:val="auto"/>
          <w:sz w:val="32"/>
          <w:szCs w:val="32"/>
          <w:highlight w:val="none"/>
          <w:lang w:eastAsia="zh-CN"/>
        </w:rPr>
        <w:t>二</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rPr>
        <w:t>法定代表人授权书</w:t>
      </w:r>
    </w:p>
    <w:p w14:paraId="302CF3B2">
      <w:pPr>
        <w:spacing w:line="360" w:lineRule="auto"/>
        <w:ind w:firstLine="360" w:firstLineChars="150"/>
        <w:jc w:val="left"/>
        <w:rPr>
          <w:rFonts w:hint="eastAsia" w:ascii="宋体" w:hAnsi="宋体" w:cs="宋体"/>
          <w:color w:val="auto"/>
          <w:sz w:val="24"/>
          <w:highlight w:val="none"/>
        </w:rPr>
      </w:pPr>
    </w:p>
    <w:p w14:paraId="70E0E10F">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四川信息职业技术学院</w:t>
      </w:r>
      <w:r>
        <w:rPr>
          <w:rFonts w:hint="eastAsia" w:ascii="宋体" w:hAnsi="宋体" w:cs="宋体"/>
          <w:color w:val="auto"/>
          <w:sz w:val="24"/>
          <w:highlight w:val="none"/>
        </w:rPr>
        <w:t>：</w:t>
      </w:r>
    </w:p>
    <w:p w14:paraId="4070ED3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本授权声明：XXX（单位名称）,XXX（法定代表人姓名）授权XXX（被授权人姓名）为我方参加</w:t>
      </w:r>
      <w:r>
        <w:rPr>
          <w:rFonts w:hint="eastAsia" w:ascii="宋体" w:hAnsi="宋体" w:cs="宋体"/>
          <w:color w:val="auto"/>
          <w:sz w:val="24"/>
          <w:highlight w:val="none"/>
          <w:u w:val="single"/>
        </w:rPr>
        <w:t>XXX</w:t>
      </w:r>
      <w:r>
        <w:rPr>
          <w:rFonts w:hint="eastAsia" w:ascii="宋体" w:hAnsi="宋体" w:cs="宋体"/>
          <w:color w:val="auto"/>
          <w:sz w:val="24"/>
          <w:highlight w:val="none"/>
        </w:rPr>
        <w:t>项目（项目编号：XXX）磋商采购活动的合法代表，以我方名义全权处理该项目有关磋商、报价、签订合同以及执行合同等一切事宜。</w:t>
      </w:r>
    </w:p>
    <w:p w14:paraId="485911F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特此声明。</w:t>
      </w:r>
    </w:p>
    <w:p w14:paraId="53EEAF85">
      <w:pPr>
        <w:spacing w:line="360" w:lineRule="auto"/>
        <w:ind w:firstLine="360" w:firstLineChars="150"/>
        <w:jc w:val="left"/>
        <w:rPr>
          <w:rFonts w:hint="eastAsia" w:ascii="宋体" w:hAnsi="宋体" w:cs="宋体"/>
          <w:color w:val="auto"/>
          <w:sz w:val="24"/>
          <w:highlight w:val="none"/>
        </w:rPr>
      </w:pPr>
    </w:p>
    <w:p w14:paraId="056AAD39">
      <w:pPr>
        <w:spacing w:line="360" w:lineRule="auto"/>
        <w:ind w:firstLine="360" w:firstLineChars="150"/>
        <w:jc w:val="left"/>
        <w:rPr>
          <w:rFonts w:hint="eastAsia" w:ascii="宋体" w:hAnsi="宋体" w:cs="宋体"/>
          <w:color w:val="auto"/>
          <w:sz w:val="24"/>
          <w:highlight w:val="none"/>
        </w:rPr>
      </w:pPr>
    </w:p>
    <w:p w14:paraId="1B4C9182">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供应商名称：XXX（盖单位公章）</w:t>
      </w:r>
    </w:p>
    <w:p w14:paraId="13EAB56C">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法定代表人（签字或盖章）：XXX</w:t>
      </w:r>
    </w:p>
    <w:p w14:paraId="2E55B661">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被授权人签字：XXX</w:t>
      </w:r>
    </w:p>
    <w:p w14:paraId="1B3CF321">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日    期：XXX年XXX月XXX日</w:t>
      </w:r>
    </w:p>
    <w:p w14:paraId="4A885675">
      <w:pPr>
        <w:spacing w:line="360" w:lineRule="auto"/>
        <w:ind w:firstLine="360" w:firstLineChars="150"/>
        <w:jc w:val="left"/>
        <w:rPr>
          <w:rFonts w:hint="eastAsia" w:ascii="宋体" w:hAnsi="宋体" w:cs="宋体"/>
          <w:color w:val="auto"/>
          <w:sz w:val="24"/>
          <w:highlight w:val="none"/>
        </w:rPr>
      </w:pPr>
    </w:p>
    <w:p w14:paraId="79F151EB">
      <w:pPr>
        <w:spacing w:line="360" w:lineRule="auto"/>
        <w:ind w:firstLine="361" w:firstLineChars="150"/>
        <w:jc w:val="left"/>
        <w:rPr>
          <w:rFonts w:hint="eastAsia" w:ascii="宋体" w:hAnsi="宋体" w:cs="宋体"/>
          <w:color w:val="auto"/>
          <w:sz w:val="24"/>
          <w:highlight w:val="none"/>
        </w:rPr>
      </w:pPr>
      <w:r>
        <w:rPr>
          <w:rFonts w:hint="eastAsia" w:ascii="宋体" w:hAnsi="宋体" w:cs="宋体"/>
          <w:b/>
          <w:bCs/>
          <w:color w:val="auto"/>
          <w:sz w:val="24"/>
          <w:highlight w:val="none"/>
        </w:rPr>
        <w:t>附：</w:t>
      </w:r>
      <w:r>
        <w:rPr>
          <w:rFonts w:hint="eastAsia" w:ascii="宋体" w:hAnsi="宋体" w:cs="宋体"/>
          <w:color w:val="auto"/>
          <w:sz w:val="24"/>
          <w:highlight w:val="none"/>
        </w:rPr>
        <w:t>法定代表人、授权代表身份证复印件加盖公司鲜章。</w:t>
      </w:r>
    </w:p>
    <w:p w14:paraId="3CC9E8ED">
      <w:pPr>
        <w:spacing w:line="360" w:lineRule="auto"/>
        <w:ind w:firstLine="360" w:firstLineChars="15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注</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供应商授权代表参加磋商时适用</w:t>
      </w:r>
      <w:r>
        <w:rPr>
          <w:rFonts w:hint="eastAsia" w:ascii="宋体" w:hAnsi="宋体" w:eastAsia="宋体" w:cs="宋体"/>
          <w:color w:val="auto"/>
          <w:sz w:val="24"/>
          <w:highlight w:val="none"/>
          <w:lang w:val="zh-CN"/>
        </w:rPr>
        <w:t>。</w:t>
      </w:r>
    </w:p>
    <w:p w14:paraId="10E35D0E">
      <w:pPr>
        <w:pStyle w:val="11"/>
        <w:jc w:val="center"/>
        <w:rPr>
          <w:rFonts w:hint="eastAsia" w:ascii="宋体" w:hAnsi="宋体" w:cs="Arial"/>
          <w:b/>
          <w:bCs/>
          <w:color w:val="auto"/>
          <w:sz w:val="32"/>
          <w:szCs w:val="32"/>
          <w:highlight w:val="none"/>
        </w:rPr>
      </w:pPr>
      <w:r>
        <w:rPr>
          <w:rFonts w:hint="eastAsia"/>
          <w:color w:val="auto"/>
          <w:highlight w:val="none"/>
        </w:rPr>
        <w:br w:type="page"/>
      </w:r>
      <w:r>
        <w:rPr>
          <w:rFonts w:hint="eastAsia" w:ascii="宋体" w:hAnsi="宋体" w:cs="Arial"/>
          <w:b/>
          <w:bCs/>
          <w:color w:val="auto"/>
          <w:sz w:val="32"/>
          <w:szCs w:val="32"/>
          <w:highlight w:val="none"/>
          <w:lang w:eastAsia="zh-CN"/>
        </w:rPr>
        <w:t>三</w:t>
      </w:r>
      <w:r>
        <w:rPr>
          <w:rFonts w:hint="eastAsia" w:ascii="宋体" w:hAnsi="宋体" w:cs="Arial"/>
          <w:b/>
          <w:bCs/>
          <w:color w:val="auto"/>
          <w:sz w:val="32"/>
          <w:szCs w:val="32"/>
          <w:highlight w:val="none"/>
        </w:rPr>
        <w:t>、供应商基本情况表</w:t>
      </w:r>
    </w:p>
    <w:p w14:paraId="703D45AA">
      <w:pPr>
        <w:jc w:val="center"/>
        <w:rPr>
          <w:rFonts w:hint="eastAsia" w:ascii="宋体" w:hAnsi="宋体" w:cs="Arial"/>
          <w:b/>
          <w:bCs/>
          <w:color w:val="auto"/>
          <w:sz w:val="32"/>
          <w:szCs w:val="32"/>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04C3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1670421A">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供应商名称</w:t>
            </w:r>
          </w:p>
        </w:tc>
        <w:tc>
          <w:tcPr>
            <w:tcW w:w="7560" w:type="dxa"/>
            <w:gridSpan w:val="11"/>
            <w:noWrap w:val="0"/>
            <w:vAlign w:val="center"/>
          </w:tcPr>
          <w:p w14:paraId="188D36A7">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r>
      <w:tr w14:paraId="0D56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7F58DF94">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注册地址</w:t>
            </w:r>
          </w:p>
        </w:tc>
        <w:tc>
          <w:tcPr>
            <w:tcW w:w="4680" w:type="dxa"/>
            <w:gridSpan w:val="6"/>
            <w:noWrap w:val="0"/>
            <w:vAlign w:val="center"/>
          </w:tcPr>
          <w:p w14:paraId="53F71161">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c>
          <w:tcPr>
            <w:tcW w:w="1260" w:type="dxa"/>
            <w:gridSpan w:val="3"/>
            <w:noWrap w:val="0"/>
            <w:vAlign w:val="center"/>
          </w:tcPr>
          <w:p w14:paraId="748149D5">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邮政编码</w:t>
            </w:r>
          </w:p>
        </w:tc>
        <w:tc>
          <w:tcPr>
            <w:tcW w:w="1620" w:type="dxa"/>
            <w:gridSpan w:val="2"/>
            <w:noWrap w:val="0"/>
            <w:vAlign w:val="center"/>
          </w:tcPr>
          <w:p w14:paraId="269519E9">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r>
      <w:tr w14:paraId="48EB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47FEBAC5">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联系方式</w:t>
            </w:r>
          </w:p>
        </w:tc>
        <w:tc>
          <w:tcPr>
            <w:tcW w:w="1080" w:type="dxa"/>
            <w:noWrap w:val="0"/>
            <w:vAlign w:val="center"/>
          </w:tcPr>
          <w:p w14:paraId="5A3A6A4E">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联系人</w:t>
            </w:r>
          </w:p>
        </w:tc>
        <w:tc>
          <w:tcPr>
            <w:tcW w:w="3600" w:type="dxa"/>
            <w:gridSpan w:val="5"/>
            <w:noWrap w:val="0"/>
            <w:vAlign w:val="center"/>
          </w:tcPr>
          <w:p w14:paraId="44434175">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c>
          <w:tcPr>
            <w:tcW w:w="1260" w:type="dxa"/>
            <w:gridSpan w:val="3"/>
            <w:noWrap w:val="0"/>
            <w:vAlign w:val="center"/>
          </w:tcPr>
          <w:p w14:paraId="3A89C9F8">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联系电话</w:t>
            </w:r>
          </w:p>
        </w:tc>
        <w:tc>
          <w:tcPr>
            <w:tcW w:w="1620" w:type="dxa"/>
            <w:gridSpan w:val="2"/>
            <w:noWrap w:val="0"/>
            <w:vAlign w:val="center"/>
          </w:tcPr>
          <w:p w14:paraId="30FD3B88">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r>
      <w:tr w14:paraId="5710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47F19429">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c>
          <w:tcPr>
            <w:tcW w:w="1080" w:type="dxa"/>
            <w:noWrap w:val="0"/>
            <w:vAlign w:val="center"/>
          </w:tcPr>
          <w:p w14:paraId="279AEA5F">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传真</w:t>
            </w:r>
          </w:p>
        </w:tc>
        <w:tc>
          <w:tcPr>
            <w:tcW w:w="3600" w:type="dxa"/>
            <w:gridSpan w:val="5"/>
            <w:noWrap w:val="0"/>
            <w:vAlign w:val="center"/>
          </w:tcPr>
          <w:p w14:paraId="048879EF">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c>
          <w:tcPr>
            <w:tcW w:w="1260" w:type="dxa"/>
            <w:gridSpan w:val="3"/>
            <w:noWrap w:val="0"/>
            <w:vAlign w:val="center"/>
          </w:tcPr>
          <w:p w14:paraId="1289DD2F">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网址</w:t>
            </w:r>
          </w:p>
        </w:tc>
        <w:tc>
          <w:tcPr>
            <w:tcW w:w="1620" w:type="dxa"/>
            <w:gridSpan w:val="2"/>
            <w:noWrap w:val="0"/>
            <w:vAlign w:val="center"/>
          </w:tcPr>
          <w:p w14:paraId="2DD52336">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r>
      <w:tr w14:paraId="7017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2E22E481">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组织结构</w:t>
            </w:r>
          </w:p>
        </w:tc>
        <w:tc>
          <w:tcPr>
            <w:tcW w:w="7560" w:type="dxa"/>
            <w:gridSpan w:val="11"/>
            <w:noWrap w:val="0"/>
            <w:vAlign w:val="center"/>
          </w:tcPr>
          <w:p w14:paraId="29BC59CD">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r>
      <w:tr w14:paraId="0110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59EAF6DA">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法定代表人</w:t>
            </w:r>
          </w:p>
        </w:tc>
        <w:tc>
          <w:tcPr>
            <w:tcW w:w="1260" w:type="dxa"/>
            <w:gridSpan w:val="2"/>
            <w:noWrap w:val="0"/>
            <w:vAlign w:val="center"/>
          </w:tcPr>
          <w:p w14:paraId="5411000D">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姓名</w:t>
            </w:r>
          </w:p>
        </w:tc>
        <w:tc>
          <w:tcPr>
            <w:tcW w:w="1260" w:type="dxa"/>
            <w:noWrap w:val="0"/>
            <w:vAlign w:val="center"/>
          </w:tcPr>
          <w:p w14:paraId="58B506EE">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c>
          <w:tcPr>
            <w:tcW w:w="1260" w:type="dxa"/>
            <w:noWrap w:val="0"/>
            <w:vAlign w:val="center"/>
          </w:tcPr>
          <w:p w14:paraId="26600255">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技术职称</w:t>
            </w:r>
          </w:p>
        </w:tc>
        <w:tc>
          <w:tcPr>
            <w:tcW w:w="1260" w:type="dxa"/>
            <w:gridSpan w:val="3"/>
            <w:noWrap w:val="0"/>
            <w:vAlign w:val="center"/>
          </w:tcPr>
          <w:p w14:paraId="74DB894A">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c>
          <w:tcPr>
            <w:tcW w:w="1260" w:type="dxa"/>
            <w:gridSpan w:val="3"/>
            <w:noWrap w:val="0"/>
            <w:vAlign w:val="center"/>
          </w:tcPr>
          <w:p w14:paraId="71C99940">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联系电话</w:t>
            </w:r>
          </w:p>
        </w:tc>
        <w:tc>
          <w:tcPr>
            <w:tcW w:w="1260" w:type="dxa"/>
            <w:noWrap w:val="0"/>
            <w:vAlign w:val="center"/>
          </w:tcPr>
          <w:p w14:paraId="27D3222D">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r>
      <w:tr w14:paraId="36DD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220415EC">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技术负责人</w:t>
            </w:r>
          </w:p>
        </w:tc>
        <w:tc>
          <w:tcPr>
            <w:tcW w:w="1260" w:type="dxa"/>
            <w:gridSpan w:val="2"/>
            <w:noWrap w:val="0"/>
            <w:vAlign w:val="center"/>
          </w:tcPr>
          <w:p w14:paraId="62FAC56B">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姓名</w:t>
            </w:r>
          </w:p>
        </w:tc>
        <w:tc>
          <w:tcPr>
            <w:tcW w:w="1260" w:type="dxa"/>
            <w:noWrap w:val="0"/>
            <w:vAlign w:val="center"/>
          </w:tcPr>
          <w:p w14:paraId="0E268864">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c>
          <w:tcPr>
            <w:tcW w:w="1260" w:type="dxa"/>
            <w:noWrap w:val="0"/>
            <w:vAlign w:val="center"/>
          </w:tcPr>
          <w:p w14:paraId="29BD0D0E">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技术职称</w:t>
            </w:r>
          </w:p>
        </w:tc>
        <w:tc>
          <w:tcPr>
            <w:tcW w:w="1260" w:type="dxa"/>
            <w:gridSpan w:val="3"/>
            <w:noWrap w:val="0"/>
            <w:vAlign w:val="center"/>
          </w:tcPr>
          <w:p w14:paraId="727D2F35">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c>
          <w:tcPr>
            <w:tcW w:w="1260" w:type="dxa"/>
            <w:gridSpan w:val="3"/>
            <w:noWrap w:val="0"/>
            <w:vAlign w:val="center"/>
          </w:tcPr>
          <w:p w14:paraId="10CD83FF">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联系电话</w:t>
            </w:r>
          </w:p>
        </w:tc>
        <w:tc>
          <w:tcPr>
            <w:tcW w:w="1260" w:type="dxa"/>
            <w:noWrap w:val="0"/>
            <w:vAlign w:val="center"/>
          </w:tcPr>
          <w:p w14:paraId="51AB36E1">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r>
      <w:tr w14:paraId="15EA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11A6EF4B">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成立时间</w:t>
            </w:r>
          </w:p>
        </w:tc>
        <w:tc>
          <w:tcPr>
            <w:tcW w:w="2520" w:type="dxa"/>
            <w:gridSpan w:val="3"/>
            <w:noWrap w:val="0"/>
            <w:vAlign w:val="center"/>
          </w:tcPr>
          <w:p w14:paraId="1B7CA237">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c>
          <w:tcPr>
            <w:tcW w:w="5040" w:type="dxa"/>
            <w:gridSpan w:val="8"/>
            <w:noWrap w:val="0"/>
            <w:vAlign w:val="center"/>
          </w:tcPr>
          <w:p w14:paraId="3F9FC741">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员工总人数：</w:t>
            </w:r>
          </w:p>
        </w:tc>
      </w:tr>
      <w:tr w14:paraId="7C2B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64DBECF0">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企业资质等级</w:t>
            </w:r>
          </w:p>
        </w:tc>
        <w:tc>
          <w:tcPr>
            <w:tcW w:w="2520" w:type="dxa"/>
            <w:gridSpan w:val="3"/>
            <w:noWrap w:val="0"/>
            <w:vAlign w:val="center"/>
          </w:tcPr>
          <w:p w14:paraId="66F01CC5">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c>
          <w:tcPr>
            <w:tcW w:w="1680" w:type="dxa"/>
            <w:gridSpan w:val="2"/>
            <w:vMerge w:val="restart"/>
            <w:noWrap w:val="0"/>
            <w:vAlign w:val="center"/>
          </w:tcPr>
          <w:p w14:paraId="10752494">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其中</w:t>
            </w:r>
          </w:p>
        </w:tc>
        <w:tc>
          <w:tcPr>
            <w:tcW w:w="1680" w:type="dxa"/>
            <w:gridSpan w:val="3"/>
            <w:noWrap w:val="0"/>
            <w:vAlign w:val="center"/>
          </w:tcPr>
          <w:p w14:paraId="18C2C4E8">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项目经理</w:t>
            </w:r>
          </w:p>
        </w:tc>
        <w:tc>
          <w:tcPr>
            <w:tcW w:w="1680" w:type="dxa"/>
            <w:gridSpan w:val="3"/>
            <w:noWrap w:val="0"/>
            <w:vAlign w:val="center"/>
          </w:tcPr>
          <w:p w14:paraId="4796732F">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r>
      <w:tr w14:paraId="6860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57AFE01E">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营业执照</w:t>
            </w:r>
            <w:r>
              <w:rPr>
                <w:rFonts w:hint="eastAsia" w:ascii="Times New Roman" w:hAnsi="Times New Roman" w:cs="Times New Roman"/>
                <w:color w:val="auto"/>
                <w:highlight w:val="none"/>
              </w:rPr>
              <w:t>号</w:t>
            </w:r>
          </w:p>
        </w:tc>
        <w:tc>
          <w:tcPr>
            <w:tcW w:w="2520" w:type="dxa"/>
            <w:gridSpan w:val="3"/>
            <w:noWrap w:val="0"/>
            <w:vAlign w:val="center"/>
          </w:tcPr>
          <w:p w14:paraId="398AC248">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c>
          <w:tcPr>
            <w:tcW w:w="1680" w:type="dxa"/>
            <w:gridSpan w:val="2"/>
            <w:vMerge w:val="continue"/>
            <w:noWrap w:val="0"/>
            <w:vAlign w:val="center"/>
          </w:tcPr>
          <w:p w14:paraId="31F15EA3">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c>
          <w:tcPr>
            <w:tcW w:w="1680" w:type="dxa"/>
            <w:gridSpan w:val="3"/>
            <w:noWrap w:val="0"/>
            <w:vAlign w:val="center"/>
          </w:tcPr>
          <w:p w14:paraId="4528B267">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高级职称人员</w:t>
            </w:r>
          </w:p>
        </w:tc>
        <w:tc>
          <w:tcPr>
            <w:tcW w:w="1680" w:type="dxa"/>
            <w:gridSpan w:val="3"/>
            <w:noWrap w:val="0"/>
            <w:vAlign w:val="center"/>
          </w:tcPr>
          <w:p w14:paraId="1D321B79">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r>
      <w:tr w14:paraId="7412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78ABECA2">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注册资金</w:t>
            </w:r>
          </w:p>
        </w:tc>
        <w:tc>
          <w:tcPr>
            <w:tcW w:w="2520" w:type="dxa"/>
            <w:gridSpan w:val="3"/>
            <w:noWrap w:val="0"/>
            <w:vAlign w:val="center"/>
          </w:tcPr>
          <w:p w14:paraId="38957D65">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c>
          <w:tcPr>
            <w:tcW w:w="1680" w:type="dxa"/>
            <w:gridSpan w:val="2"/>
            <w:vMerge w:val="continue"/>
            <w:noWrap w:val="0"/>
            <w:vAlign w:val="center"/>
          </w:tcPr>
          <w:p w14:paraId="35D6A3AB">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c>
          <w:tcPr>
            <w:tcW w:w="1680" w:type="dxa"/>
            <w:gridSpan w:val="3"/>
            <w:noWrap w:val="0"/>
            <w:vAlign w:val="center"/>
          </w:tcPr>
          <w:p w14:paraId="0C17F739">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中级职称人员</w:t>
            </w:r>
          </w:p>
        </w:tc>
        <w:tc>
          <w:tcPr>
            <w:tcW w:w="1680" w:type="dxa"/>
            <w:gridSpan w:val="3"/>
            <w:noWrap w:val="0"/>
            <w:vAlign w:val="center"/>
          </w:tcPr>
          <w:p w14:paraId="7688FBFF">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r>
      <w:tr w14:paraId="699E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2D966254">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开户银行</w:t>
            </w:r>
          </w:p>
        </w:tc>
        <w:tc>
          <w:tcPr>
            <w:tcW w:w="2520" w:type="dxa"/>
            <w:gridSpan w:val="3"/>
            <w:noWrap w:val="0"/>
            <w:vAlign w:val="center"/>
          </w:tcPr>
          <w:p w14:paraId="7A5D6179">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c>
          <w:tcPr>
            <w:tcW w:w="1680" w:type="dxa"/>
            <w:gridSpan w:val="2"/>
            <w:vMerge w:val="continue"/>
            <w:noWrap w:val="0"/>
            <w:vAlign w:val="center"/>
          </w:tcPr>
          <w:p w14:paraId="1F0A2E35">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c>
          <w:tcPr>
            <w:tcW w:w="1680" w:type="dxa"/>
            <w:gridSpan w:val="3"/>
            <w:noWrap w:val="0"/>
            <w:vAlign w:val="center"/>
          </w:tcPr>
          <w:p w14:paraId="2188D442">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初级职称人员</w:t>
            </w:r>
          </w:p>
        </w:tc>
        <w:tc>
          <w:tcPr>
            <w:tcW w:w="1680" w:type="dxa"/>
            <w:gridSpan w:val="3"/>
            <w:noWrap w:val="0"/>
            <w:vAlign w:val="center"/>
          </w:tcPr>
          <w:p w14:paraId="3A1D7A2F">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r>
      <w:tr w14:paraId="4AA0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54441475">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账号</w:t>
            </w:r>
          </w:p>
        </w:tc>
        <w:tc>
          <w:tcPr>
            <w:tcW w:w="2520" w:type="dxa"/>
            <w:gridSpan w:val="3"/>
            <w:noWrap w:val="0"/>
            <w:vAlign w:val="center"/>
          </w:tcPr>
          <w:p w14:paraId="430EB2E8">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c>
          <w:tcPr>
            <w:tcW w:w="1680" w:type="dxa"/>
            <w:gridSpan w:val="2"/>
            <w:vMerge w:val="continue"/>
            <w:noWrap w:val="0"/>
            <w:vAlign w:val="center"/>
          </w:tcPr>
          <w:p w14:paraId="66BED19F">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c>
          <w:tcPr>
            <w:tcW w:w="1680" w:type="dxa"/>
            <w:gridSpan w:val="3"/>
            <w:noWrap w:val="0"/>
            <w:vAlign w:val="center"/>
          </w:tcPr>
          <w:p w14:paraId="064C50ED">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技工</w:t>
            </w:r>
          </w:p>
        </w:tc>
        <w:tc>
          <w:tcPr>
            <w:tcW w:w="1680" w:type="dxa"/>
            <w:gridSpan w:val="3"/>
            <w:noWrap w:val="0"/>
            <w:vAlign w:val="center"/>
          </w:tcPr>
          <w:p w14:paraId="0513192D">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r>
      <w:tr w14:paraId="34B1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4A6412B5">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经营范围</w:t>
            </w:r>
          </w:p>
        </w:tc>
        <w:tc>
          <w:tcPr>
            <w:tcW w:w="7560" w:type="dxa"/>
            <w:gridSpan w:val="11"/>
            <w:noWrap w:val="0"/>
            <w:vAlign w:val="center"/>
          </w:tcPr>
          <w:p w14:paraId="1447A160">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r>
      <w:tr w14:paraId="2F37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48F03774">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r>
              <w:rPr>
                <w:rFonts w:hint="eastAsia" w:ascii="宋体" w:hAnsi="宋体" w:cs="Arial"/>
                <w:bCs/>
                <w:color w:val="auto"/>
                <w:szCs w:val="21"/>
                <w:highlight w:val="none"/>
              </w:rPr>
              <w:t>备注</w:t>
            </w:r>
          </w:p>
        </w:tc>
        <w:tc>
          <w:tcPr>
            <w:tcW w:w="7560" w:type="dxa"/>
            <w:gridSpan w:val="11"/>
            <w:noWrap w:val="0"/>
            <w:vAlign w:val="center"/>
          </w:tcPr>
          <w:p w14:paraId="2F42C20E">
            <w:pPr>
              <w:keepNext w:val="0"/>
              <w:keepLines w:val="0"/>
              <w:suppressLineNumbers w:val="0"/>
              <w:spacing w:before="0" w:beforeAutospacing="0" w:after="0" w:afterAutospacing="0"/>
              <w:ind w:left="0" w:right="0"/>
              <w:jc w:val="center"/>
              <w:rPr>
                <w:rFonts w:hint="eastAsia" w:ascii="宋体" w:hAnsi="宋体" w:cs="Arial"/>
                <w:bCs/>
                <w:color w:val="auto"/>
                <w:szCs w:val="21"/>
                <w:highlight w:val="none"/>
              </w:rPr>
            </w:pPr>
          </w:p>
        </w:tc>
      </w:tr>
    </w:tbl>
    <w:p w14:paraId="2D76E0EF">
      <w:pPr>
        <w:adjustRightInd w:val="0"/>
        <w:spacing w:line="400" w:lineRule="exact"/>
        <w:jc w:val="left"/>
        <w:rPr>
          <w:rFonts w:hint="eastAsia" w:ascii="宋体" w:hAnsi="宋体"/>
          <w:color w:val="auto"/>
          <w:sz w:val="24"/>
          <w:highlight w:val="none"/>
        </w:rPr>
      </w:pPr>
    </w:p>
    <w:p w14:paraId="6D9E343F">
      <w:pPr>
        <w:adjustRightInd w:val="0"/>
        <w:spacing w:line="400" w:lineRule="exact"/>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9184C16">
      <w:pPr>
        <w:adjustRightInd w:val="0"/>
        <w:spacing w:line="400" w:lineRule="exact"/>
        <w:jc w:val="left"/>
        <w:rPr>
          <w:rFonts w:hint="eastAsia"/>
          <w:bCs/>
          <w:color w:val="auto"/>
          <w:sz w:val="24"/>
          <w:highlight w:val="none"/>
        </w:rPr>
      </w:pPr>
      <w:r>
        <w:rPr>
          <w:rFonts w:hint="eastAsia"/>
          <w:bCs/>
          <w:color w:val="auto"/>
          <w:sz w:val="24"/>
          <w:highlight w:val="none"/>
        </w:rPr>
        <w:t>法定代表人或授权代表（签字或盖章）：XXX</w:t>
      </w:r>
    </w:p>
    <w:p w14:paraId="66A0E565">
      <w:pPr>
        <w:adjustRightInd w:val="0"/>
        <w:spacing w:line="400" w:lineRule="exact"/>
        <w:jc w:val="left"/>
        <w:rPr>
          <w:rFonts w:hint="eastAsia"/>
          <w:bCs/>
          <w:color w:val="auto"/>
          <w:sz w:val="24"/>
          <w:highlight w:val="none"/>
        </w:rPr>
      </w:pPr>
      <w:r>
        <w:rPr>
          <w:rFonts w:hint="eastAsia"/>
          <w:bCs/>
          <w:color w:val="auto"/>
          <w:sz w:val="24"/>
          <w:highlight w:val="none"/>
        </w:rPr>
        <w:t>日  期：XXX年XXX月XXX日</w:t>
      </w:r>
    </w:p>
    <w:p w14:paraId="5F88D68D">
      <w:pPr>
        <w:pStyle w:val="11"/>
        <w:spacing w:line="360" w:lineRule="auto"/>
        <w:ind w:firstLine="482" w:firstLineChars="150"/>
        <w:jc w:val="left"/>
        <w:rPr>
          <w:rFonts w:hint="eastAsia" w:ascii="宋体" w:hAnsi="宋体" w:cs="宋体"/>
          <w:b/>
          <w:color w:val="auto"/>
          <w:sz w:val="32"/>
          <w:szCs w:val="32"/>
          <w:highlight w:val="none"/>
        </w:rPr>
      </w:pPr>
    </w:p>
    <w:p w14:paraId="1DD80F2C">
      <w:pPr>
        <w:spacing w:line="400" w:lineRule="exact"/>
        <w:ind w:firstLine="643" w:firstLineChars="200"/>
        <w:jc w:val="center"/>
        <w:rPr>
          <w:rFonts w:hint="eastAsia" w:ascii="宋体" w:hAnsi="宋体"/>
          <w:b/>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eastAsia="zh-CN"/>
        </w:rPr>
        <w:t>四</w:t>
      </w:r>
      <w:r>
        <w:rPr>
          <w:rFonts w:hint="eastAsia" w:ascii="宋体" w:hAnsi="宋体"/>
          <w:b/>
          <w:color w:val="auto"/>
          <w:sz w:val="32"/>
          <w:szCs w:val="32"/>
          <w:highlight w:val="none"/>
        </w:rPr>
        <w:t>、承诺函</w:t>
      </w:r>
    </w:p>
    <w:p w14:paraId="45F9370D">
      <w:pPr>
        <w:spacing w:line="400" w:lineRule="exact"/>
        <w:ind w:firstLine="562" w:firstLineChars="200"/>
        <w:jc w:val="center"/>
        <w:rPr>
          <w:rFonts w:hint="eastAsia" w:ascii="宋体" w:hAnsi="宋体" w:eastAsia="黑体"/>
          <w:b/>
          <w:color w:val="auto"/>
          <w:sz w:val="28"/>
          <w:szCs w:val="28"/>
          <w:highlight w:val="none"/>
        </w:rPr>
      </w:pPr>
    </w:p>
    <w:p w14:paraId="7150675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四川信息职业技术学院：</w:t>
      </w:r>
    </w:p>
    <w:p w14:paraId="36285FD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我公司作为本次采购项目的供应商，根据磋商文件要求，现郑重承诺如下：</w:t>
      </w:r>
    </w:p>
    <w:p w14:paraId="27379A9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一、具备《中华人民共和国政府采购法》第二十二条第一款和本项目规定的条件：</w:t>
      </w:r>
    </w:p>
    <w:p w14:paraId="6C8946B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（一）具有独立承担民事责任的能力；</w:t>
      </w:r>
    </w:p>
    <w:p w14:paraId="5BEFA13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65ECE9A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7B4AC2C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495B17C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（五）参加采购活动前三年内，</w:t>
      </w:r>
      <w:r>
        <w:rPr>
          <w:rFonts w:hint="eastAsia" w:ascii="宋体" w:hAnsi="宋体" w:cs="宋体"/>
          <w:b w:val="0"/>
          <w:bCs w:val="0"/>
          <w:color w:val="auto"/>
          <w:sz w:val="24"/>
          <w:highlight w:val="none"/>
        </w:rPr>
        <w:t>在经营活动</w:t>
      </w:r>
      <w:r>
        <w:rPr>
          <w:rFonts w:hint="eastAsia" w:ascii="宋体" w:hAnsi="宋体" w:cs="宋体"/>
          <w:color w:val="auto"/>
          <w:sz w:val="24"/>
          <w:highlight w:val="none"/>
        </w:rPr>
        <w:t>中没有重大违法记录；</w:t>
      </w:r>
    </w:p>
    <w:p w14:paraId="42959B5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（六）法律、行政法规规定的其他条件；</w:t>
      </w:r>
    </w:p>
    <w:p w14:paraId="5D8CE5C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（七）根据采购项目设置的特殊条件。</w:t>
      </w:r>
    </w:p>
    <w:p w14:paraId="2A47AED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二</w:t>
      </w:r>
      <w:r>
        <w:rPr>
          <w:rFonts w:hint="eastAsia" w:ascii="宋体" w:hAnsi="宋体" w:eastAsia="宋体" w:cs="宋体"/>
          <w:b w:val="0"/>
          <w:bCs w:val="0"/>
          <w:color w:val="auto"/>
          <w:sz w:val="24"/>
          <w:highlight w:val="none"/>
        </w:rPr>
        <w:t>、在参加本次采购活动中，不存在与单位负责人为同一人或者存在直接控股、管理关系的其他供应商参与同一合同项下的采购活动的行为。</w:t>
      </w:r>
    </w:p>
    <w:p w14:paraId="3C981AF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三</w:t>
      </w:r>
      <w:r>
        <w:rPr>
          <w:rFonts w:hint="eastAsia" w:ascii="宋体" w:hAnsi="宋体" w:eastAsia="宋体" w:cs="宋体"/>
          <w:b w:val="0"/>
          <w:bCs w:val="0"/>
          <w:color w:val="auto"/>
          <w:sz w:val="24"/>
          <w:highlight w:val="none"/>
        </w:rPr>
        <w:t>、在参加本次采购活动中，不存在和其他供应商在同一合同项下的采购项目中，同时委托同一个自然人、同一家庭的人员、同一单位的人员作为代理人的行为。</w:t>
      </w:r>
    </w:p>
    <w:p w14:paraId="3754A36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四</w:t>
      </w:r>
      <w:r>
        <w:rPr>
          <w:rFonts w:hint="eastAsia" w:ascii="宋体" w:hAnsi="宋体" w:eastAsia="宋体" w:cs="宋体"/>
          <w:b w:val="0"/>
          <w:bCs w:val="0"/>
          <w:color w:val="auto"/>
          <w:sz w:val="24"/>
          <w:highlight w:val="none"/>
        </w:rPr>
        <w:t>、如果有规定的记入诚信档案的失信行为，将在响应文件中全面如实反映。</w:t>
      </w:r>
    </w:p>
    <w:p w14:paraId="2CAA249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五</w:t>
      </w:r>
      <w:r>
        <w:rPr>
          <w:rFonts w:hint="eastAsia" w:ascii="宋体" w:hAnsi="宋体" w:eastAsia="宋体" w:cs="宋体"/>
          <w:b w:val="0"/>
          <w:bCs w:val="0"/>
          <w:color w:val="auto"/>
          <w:sz w:val="24"/>
          <w:highlight w:val="none"/>
        </w:rPr>
        <w:t>、响应文件中提供的任何资料和技术、服务、商务等响应承诺情况都是真实的、有效的、合法的。</w:t>
      </w:r>
    </w:p>
    <w:p w14:paraId="14F13A8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六</w:t>
      </w:r>
      <w:r>
        <w:rPr>
          <w:rFonts w:hint="eastAsia" w:ascii="宋体" w:hAnsi="宋体" w:eastAsia="宋体" w:cs="宋体"/>
          <w:b w:val="0"/>
          <w:bCs w:val="0"/>
          <w:color w:val="auto"/>
          <w:sz w:val="24"/>
          <w:highlight w:val="none"/>
        </w:rPr>
        <w:t>、如本项目磋商采购过程中需要提供样品，则我公司提供的样品即为成交后将要提供的成交产品，我公司对提供样品的性能和质量负责，因样品存在缺陷或者不符合磋商文件要求导致未能成交的，我公司愿意承担相应不利后果。</w:t>
      </w:r>
    </w:p>
    <w:p w14:paraId="2A88240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本公司对上述承诺的内容事项真实性负责。如经查实上述承诺的内容事项存在虚假，我公司愿意接受以提供虚假材料谋取成交的法律责任。</w:t>
      </w:r>
    </w:p>
    <w:p w14:paraId="101A0B9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 w:val="0"/>
          <w:bCs w:val="0"/>
          <w:color w:val="auto"/>
          <w:sz w:val="24"/>
          <w:highlight w:val="none"/>
        </w:rPr>
      </w:pPr>
    </w:p>
    <w:p w14:paraId="3639F2C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 w:val="24"/>
          <w:highlight w:val="none"/>
        </w:rPr>
      </w:pPr>
    </w:p>
    <w:p w14:paraId="05F7A18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供应商名称：XXXX（盖章）</w:t>
      </w:r>
    </w:p>
    <w:p w14:paraId="6AFCBA7B">
      <w:pPr>
        <w:keepNext w:val="0"/>
        <w:keepLines w:val="0"/>
        <w:pageBreakBefore w:val="0"/>
        <w:widowControl w:val="0"/>
        <w:kinsoku/>
        <w:wordWrap/>
        <w:overflowPunct/>
        <w:topLinePunct w:val="0"/>
        <w:autoSpaceDE/>
        <w:autoSpaceDN/>
        <w:bidi w:val="0"/>
        <w:adjustRightInd/>
        <w:snapToGrid/>
        <w:spacing w:line="312" w:lineRule="auto"/>
        <w:ind w:firstLine="470" w:firstLineChars="196"/>
        <w:textAlignment w:val="auto"/>
        <w:rPr>
          <w:rFonts w:hint="eastAsia" w:ascii="宋体" w:hAnsi="宋体" w:cs="宋体"/>
          <w:color w:val="auto"/>
          <w:sz w:val="24"/>
          <w:highlight w:val="none"/>
        </w:rPr>
      </w:pPr>
      <w:r>
        <w:rPr>
          <w:rFonts w:hint="eastAsia" w:ascii="宋体" w:hAnsi="宋体" w:cs="宋体"/>
          <w:color w:val="auto"/>
          <w:sz w:val="24"/>
          <w:highlight w:val="none"/>
        </w:rPr>
        <w:t>法定代表人或授权代表（签字或盖章）：XXX</w:t>
      </w:r>
    </w:p>
    <w:p w14:paraId="7DFB983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color w:val="auto"/>
          <w:highlight w:val="none"/>
        </w:rPr>
      </w:pPr>
      <w:r>
        <w:rPr>
          <w:rFonts w:hint="eastAsia" w:ascii="宋体" w:hAnsi="宋体" w:cs="宋体"/>
          <w:color w:val="auto"/>
          <w:sz w:val="24"/>
          <w:highlight w:val="none"/>
        </w:rPr>
        <w:t>日    期：XXX年XXX月XXX日</w:t>
      </w:r>
    </w:p>
    <w:p w14:paraId="1AB9A399">
      <w:pPr>
        <w:pStyle w:val="24"/>
        <w:spacing w:line="360" w:lineRule="auto"/>
        <w:jc w:val="left"/>
        <w:outlineLvl w:val="9"/>
        <w:rPr>
          <w:rFonts w:hint="eastAsia" w:ascii="宋体" w:hAnsi="宋体" w:cs="宋体"/>
          <w:color w:val="auto"/>
          <w:highlight w:val="none"/>
        </w:rPr>
      </w:pPr>
    </w:p>
    <w:p w14:paraId="7FF0BFC1">
      <w:pPr>
        <w:jc w:val="center"/>
        <w:rPr>
          <w:rFonts w:hint="eastAsia"/>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lang w:eastAsia="zh-CN"/>
        </w:rPr>
        <w:t>五</w:t>
      </w:r>
      <w:r>
        <w:rPr>
          <w:rFonts w:hint="eastAsia"/>
          <w:b/>
          <w:color w:val="auto"/>
          <w:sz w:val="32"/>
          <w:szCs w:val="32"/>
          <w:highlight w:val="none"/>
        </w:rPr>
        <w:t>、报价函</w:t>
      </w:r>
    </w:p>
    <w:p w14:paraId="4BA99001">
      <w:pPr>
        <w:spacing w:line="360" w:lineRule="auto"/>
        <w:rPr>
          <w:rFonts w:hint="eastAsia" w:ascii="宋体" w:hAnsi="宋体"/>
          <w:color w:val="auto"/>
          <w:sz w:val="24"/>
          <w:highlight w:val="none"/>
        </w:rPr>
      </w:pPr>
    </w:p>
    <w:p w14:paraId="49480E15">
      <w:pPr>
        <w:spacing w:line="360" w:lineRule="auto"/>
        <w:ind w:right="-149" w:rightChars="-71"/>
        <w:rPr>
          <w:rFonts w:hint="eastAsia" w:ascii="宋体" w:hAnsi="宋体" w:cs="宋体"/>
          <w:color w:val="auto"/>
          <w:sz w:val="24"/>
          <w:highlight w:val="none"/>
        </w:rPr>
      </w:pPr>
      <w:r>
        <w:rPr>
          <w:rFonts w:hint="eastAsia" w:ascii="宋体" w:hAnsi="宋体" w:cs="宋体"/>
          <w:color w:val="auto"/>
          <w:sz w:val="24"/>
          <w:highlight w:val="none"/>
        </w:rPr>
        <w:t>四川信息职业技术学院：</w:t>
      </w:r>
    </w:p>
    <w:p w14:paraId="66B745E6">
      <w:pPr>
        <w:keepNext w:val="0"/>
        <w:keepLines w:val="0"/>
        <w:pageBreakBefore w:val="0"/>
        <w:widowControl w:val="0"/>
        <w:kinsoku/>
        <w:wordWrap/>
        <w:overflowPunct/>
        <w:topLinePunct w:val="0"/>
        <w:autoSpaceDE/>
        <w:autoSpaceDN/>
        <w:bidi w:val="0"/>
        <w:adjustRightInd/>
        <w:snapToGrid/>
        <w:spacing w:line="360" w:lineRule="auto"/>
        <w:ind w:right="-149" w:rightChars="-71"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1.我方全面研究了“XXXXXX”项目磋商文件（项目编号：XXXX），决定参加贵单位组织的本项目磋商采购。</w:t>
      </w:r>
    </w:p>
    <w:p w14:paraId="709150EF">
      <w:pPr>
        <w:keepNext w:val="0"/>
        <w:keepLines w:val="0"/>
        <w:pageBreakBefore w:val="0"/>
        <w:widowControl w:val="0"/>
        <w:kinsoku/>
        <w:wordWrap/>
        <w:overflowPunct/>
        <w:topLinePunct w:val="0"/>
        <w:autoSpaceDE/>
        <w:autoSpaceDN/>
        <w:bidi w:val="0"/>
        <w:adjustRightInd/>
        <w:snapToGrid/>
        <w:spacing w:line="360" w:lineRule="auto"/>
        <w:ind w:right="-149" w:rightChars="-71" w:firstLine="480" w:firstLineChars="200"/>
        <w:textAlignment w:val="auto"/>
        <w:rPr>
          <w:rFonts w:hint="eastAsia" w:ascii="宋体" w:hAnsi="宋体" w:eastAsia="宋体" w:cs="宋体"/>
          <w:color w:val="auto"/>
          <w:sz w:val="24"/>
          <w:highlight w:val="cyan"/>
          <w:lang w:eastAsia="zh-CN"/>
        </w:rPr>
      </w:pPr>
      <w:r>
        <w:rPr>
          <w:rFonts w:hint="eastAsia" w:ascii="宋体" w:hAnsi="宋体" w:cs="宋体"/>
          <w:color w:val="auto"/>
          <w:sz w:val="24"/>
          <w:highlight w:val="none"/>
        </w:rPr>
        <w:t>2.我方自愿按照磋商文件规定的各项要求向采购人提供本项目全部服务，本项目采用统一固定下浮比例报价，下浮率计算基数严格按照川价发〔2008〕141 号文件对应服务类型、对应工程造价档次核算的单项基准收费额执行，全部服务分项统一适用同一固定下浮比例。整体统一下浮____%（大写：百分之____）</w:t>
      </w:r>
      <w:r>
        <w:rPr>
          <w:rFonts w:hint="eastAsia" w:ascii="宋体" w:hAnsi="宋体" w:cs="宋体"/>
          <w:color w:val="auto"/>
          <w:sz w:val="24"/>
          <w:highlight w:val="none"/>
          <w:lang w:eastAsia="zh-CN"/>
        </w:rPr>
        <w:t>，</w:t>
      </w:r>
      <w:r>
        <w:rPr>
          <w:rFonts w:ascii="宋体" w:hAnsi="宋体" w:eastAsia="宋体" w:cs="宋体"/>
          <w:sz w:val="24"/>
          <w:szCs w:val="24"/>
        </w:rPr>
        <w:t>大小写金额不一致时以大写文字为准。</w:t>
      </w:r>
    </w:p>
    <w:p w14:paraId="0B1DE37B">
      <w:pPr>
        <w:spacing w:line="360" w:lineRule="auto"/>
        <w:ind w:right="-149" w:rightChars="-7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3.一旦我方成交，我方将严格履行政府采购合同规定的责任和义务。</w:t>
      </w:r>
    </w:p>
    <w:p w14:paraId="6FBB19B8">
      <w:pPr>
        <w:spacing w:line="360" w:lineRule="auto"/>
        <w:ind w:right="-149" w:rightChars="-7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同意本磋商文件依据《四川省公共资源交易领域严重失信联合惩戒实施办法》（川发改信用规〔2019〕405号）、《关于对政府采购领域严重违法失信主体开展联合惩戒的合作备忘录》（发改财金〔2018〕1614号）等有关规定给予行政处罚或者以失信行为记入诚信档案。</w:t>
      </w:r>
    </w:p>
    <w:p w14:paraId="5BBCA37C">
      <w:pPr>
        <w:spacing w:line="360" w:lineRule="auto"/>
        <w:ind w:right="-149" w:rightChars="-71"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.我方为本项目提交的响应文件正本1份，副本2份和电子文档（U盘或光盘）1份，用于磋商报价。</w:t>
      </w:r>
    </w:p>
    <w:p w14:paraId="48F0C07B">
      <w:pPr>
        <w:spacing w:line="360" w:lineRule="auto"/>
        <w:ind w:right="-149" w:rightChars="-71"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.我方愿意提供贵单位可能另外要求的，与磋商报价有关的文件资料，并保证我方已提供和将要提供的文件资料是真实、准确的。</w:t>
      </w:r>
    </w:p>
    <w:p w14:paraId="0946E70A">
      <w:pPr>
        <w:spacing w:line="360" w:lineRule="auto"/>
        <w:ind w:right="-149" w:rightChars="-71" w:firstLine="480" w:firstLineChars="200"/>
        <w:rPr>
          <w:rFonts w:hint="eastAsia" w:ascii="宋体" w:hAnsi="宋体" w:eastAsia="宋体" w:cs="宋体"/>
          <w:color w:val="auto"/>
          <w:sz w:val="24"/>
          <w:highlight w:val="none"/>
          <w:lang w:val="en"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.本次磋商，我方递交的响应文件有效期为递交磋商响应文件截止之日起</w:t>
      </w:r>
      <w:r>
        <w:rPr>
          <w:rFonts w:hint="eastAsia" w:ascii="宋体" w:hAnsi="宋体" w:cs="宋体"/>
          <w:color w:val="auto"/>
          <w:sz w:val="24"/>
          <w:highlight w:val="none"/>
          <w:u w:val="single"/>
        </w:rPr>
        <w:t>90</w:t>
      </w:r>
      <w:r>
        <w:rPr>
          <w:rFonts w:hint="eastAsia" w:ascii="宋体" w:hAnsi="宋体" w:cs="宋体"/>
          <w:color w:val="auto"/>
          <w:sz w:val="24"/>
          <w:highlight w:val="none"/>
        </w:rPr>
        <w:t>天</w:t>
      </w:r>
      <w:r>
        <w:rPr>
          <w:rFonts w:hint="eastAsia" w:ascii="宋体" w:hAnsi="宋体" w:cs="宋体"/>
          <w:color w:val="auto"/>
          <w:sz w:val="24"/>
          <w:highlight w:val="none"/>
          <w:lang w:eastAsia="zh-CN"/>
        </w:rPr>
        <w:t>。</w:t>
      </w:r>
    </w:p>
    <w:p w14:paraId="623F1C7A">
      <w:pPr>
        <w:adjustRightInd w:val="0"/>
        <w:spacing w:line="400" w:lineRule="exact"/>
        <w:ind w:firstLine="480" w:firstLineChars="200"/>
        <w:rPr>
          <w:rFonts w:hint="eastAsia" w:ascii="宋体" w:hAnsi="宋体" w:cs="宋体"/>
          <w:color w:val="auto"/>
          <w:sz w:val="24"/>
          <w:highlight w:val="none"/>
        </w:rPr>
      </w:pPr>
    </w:p>
    <w:p w14:paraId="07262590">
      <w:pPr>
        <w:adjustRightInd w:val="0"/>
        <w:spacing w:line="400" w:lineRule="exact"/>
        <w:ind w:firstLine="480" w:firstLineChars="200"/>
        <w:rPr>
          <w:rFonts w:hint="eastAsia" w:ascii="宋体" w:hAnsi="宋体" w:cs="宋体"/>
          <w:color w:val="auto"/>
          <w:sz w:val="24"/>
          <w:highlight w:val="none"/>
        </w:rPr>
      </w:pPr>
    </w:p>
    <w:p w14:paraId="28D3DBAE">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供应商名称：XXX（盖单位公章）</w:t>
      </w:r>
    </w:p>
    <w:p w14:paraId="7179B301">
      <w:pPr>
        <w:spacing w:line="40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法定代表人或授权代表（签字或盖章）：XXX</w:t>
      </w:r>
    </w:p>
    <w:p w14:paraId="4CF4E4B7">
      <w:pPr>
        <w:spacing w:line="40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日    期：XXX年XXX月XXX日</w:t>
      </w:r>
    </w:p>
    <w:p w14:paraId="415A3363">
      <w:pPr>
        <w:spacing w:line="360" w:lineRule="auto"/>
        <w:jc w:val="left"/>
        <w:rPr>
          <w:rFonts w:hint="eastAsia" w:ascii="宋体" w:hAnsi="宋体" w:cs="宋体"/>
          <w:b/>
          <w:color w:val="auto"/>
          <w:sz w:val="32"/>
          <w:szCs w:val="32"/>
          <w:highlight w:val="none"/>
        </w:rPr>
      </w:pPr>
    </w:p>
    <w:p w14:paraId="71906396">
      <w:pPr>
        <w:spacing w:line="360" w:lineRule="auto"/>
        <w:jc w:val="left"/>
        <w:rPr>
          <w:rFonts w:hint="eastAsia" w:ascii="宋体" w:hAnsi="宋体" w:cs="宋体"/>
          <w:b/>
          <w:color w:val="auto"/>
          <w:sz w:val="32"/>
          <w:szCs w:val="32"/>
          <w:highlight w:val="none"/>
        </w:rPr>
      </w:pPr>
    </w:p>
    <w:p w14:paraId="4BC1FAD3">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lang w:eastAsia="zh-CN"/>
        </w:rPr>
        <w:t>六</w:t>
      </w:r>
      <w:r>
        <w:rPr>
          <w:rFonts w:hint="eastAsia"/>
          <w:b/>
          <w:color w:val="auto"/>
          <w:sz w:val="32"/>
          <w:szCs w:val="32"/>
          <w:highlight w:val="none"/>
        </w:rPr>
        <w:t>、报价表</w:t>
      </w:r>
    </w:p>
    <w:p w14:paraId="5C169315">
      <w:pPr>
        <w:overflowPunct w:val="0"/>
        <w:spacing w:line="360" w:lineRule="auto"/>
        <w:ind w:firstLine="480" w:firstLineChars="200"/>
        <w:rPr>
          <w:rFonts w:hint="eastAsia" w:ascii="宋体" w:hAnsi="宋体" w:cs="宋体"/>
          <w:color w:val="auto"/>
          <w:sz w:val="24"/>
          <w:highlight w:val="none"/>
        </w:rPr>
      </w:pPr>
    </w:p>
    <w:p w14:paraId="0BD82A37">
      <w:pPr>
        <w:overflowPunct w:val="0"/>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202607SJ002</w:t>
      </w:r>
    </w:p>
    <w:tbl>
      <w:tblPr>
        <w:tblStyle w:val="32"/>
        <w:tblW w:w="9669" w:type="dxa"/>
        <w:tblInd w:w="0" w:type="dxa"/>
        <w:tblLayout w:type="fixed"/>
        <w:tblCellMar>
          <w:top w:w="0" w:type="dxa"/>
          <w:left w:w="108" w:type="dxa"/>
          <w:bottom w:w="0" w:type="dxa"/>
          <w:right w:w="108" w:type="dxa"/>
        </w:tblCellMar>
      </w:tblPr>
      <w:tblGrid>
        <w:gridCol w:w="1299"/>
        <w:gridCol w:w="2958"/>
        <w:gridCol w:w="2875"/>
        <w:gridCol w:w="2537"/>
      </w:tblGrid>
      <w:tr w14:paraId="197F416C">
        <w:tblPrEx>
          <w:tblCellMar>
            <w:top w:w="0" w:type="dxa"/>
            <w:left w:w="108" w:type="dxa"/>
            <w:bottom w:w="0" w:type="dxa"/>
            <w:right w:w="108" w:type="dxa"/>
          </w:tblCellMar>
        </w:tblPrEx>
        <w:trPr>
          <w:trHeight w:val="695" w:hRule="atLeast"/>
        </w:trPr>
        <w:tc>
          <w:tcPr>
            <w:tcW w:w="1299" w:type="dxa"/>
            <w:tcBorders>
              <w:top w:val="single" w:color="auto" w:sz="4" w:space="0"/>
              <w:left w:val="single" w:color="auto" w:sz="4" w:space="0"/>
              <w:bottom w:val="single" w:color="auto" w:sz="4" w:space="0"/>
              <w:right w:val="single" w:color="auto" w:sz="4" w:space="0"/>
            </w:tcBorders>
            <w:noWrap w:val="0"/>
            <w:vAlign w:val="center"/>
          </w:tcPr>
          <w:p w14:paraId="58AAB2A5">
            <w:pPr>
              <w:keepNext w:val="0"/>
              <w:keepLines w:val="0"/>
              <w:widowControl/>
              <w:suppressLineNumbers w:val="0"/>
              <w:spacing w:before="0" w:beforeAutospacing="0" w:after="0" w:afterAutospacing="0" w:line="360" w:lineRule="auto"/>
              <w:ind w:left="120" w:right="0"/>
              <w:jc w:val="center"/>
              <w:rPr>
                <w:rFonts w:hint="eastAsia" w:ascii="宋体" w:hAnsi="宋体" w:eastAsia="宋体" w:cs="宋体"/>
                <w:color w:val="auto"/>
                <w:highlight w:val="none"/>
                <w:lang w:eastAsia="zh-CN"/>
              </w:rPr>
            </w:pPr>
            <w:bookmarkStart w:id="90" w:name="_Toc27090"/>
            <w:bookmarkStart w:id="91" w:name="_Toc23957"/>
            <w:bookmarkStart w:id="92" w:name="_Toc20400"/>
            <w:r>
              <w:rPr>
                <w:rFonts w:hint="eastAsia" w:ascii="宋体" w:hAnsi="宋体" w:eastAsia="宋体" w:cs="宋体"/>
                <w:color w:val="auto"/>
                <w:highlight w:val="none"/>
                <w:lang w:eastAsia="zh-CN"/>
              </w:rPr>
              <w:t>序号</w:t>
            </w:r>
          </w:p>
        </w:tc>
        <w:tc>
          <w:tcPr>
            <w:tcW w:w="2958" w:type="dxa"/>
            <w:tcBorders>
              <w:top w:val="single" w:color="auto" w:sz="4" w:space="0"/>
              <w:left w:val="nil"/>
              <w:bottom w:val="single" w:color="auto" w:sz="4" w:space="0"/>
              <w:right w:val="single" w:color="auto" w:sz="4" w:space="0"/>
            </w:tcBorders>
            <w:noWrap w:val="0"/>
            <w:vAlign w:val="center"/>
          </w:tcPr>
          <w:p w14:paraId="105452E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项目内容</w:t>
            </w:r>
          </w:p>
        </w:tc>
        <w:tc>
          <w:tcPr>
            <w:tcW w:w="2875" w:type="dxa"/>
            <w:tcBorders>
              <w:top w:val="single" w:color="auto" w:sz="4" w:space="0"/>
              <w:left w:val="single" w:color="auto" w:sz="4" w:space="0"/>
              <w:bottom w:val="single" w:color="auto" w:sz="4" w:space="0"/>
              <w:right w:val="single" w:color="auto" w:sz="4" w:space="0"/>
            </w:tcBorders>
            <w:noWrap w:val="0"/>
            <w:vAlign w:val="center"/>
          </w:tcPr>
          <w:p w14:paraId="28558524">
            <w:pPr>
              <w:keepNext w:val="0"/>
              <w:keepLines w:val="0"/>
              <w:widowControl/>
              <w:suppressLineNumbers w:val="0"/>
              <w:spacing w:before="0" w:beforeAutospacing="0" w:after="0" w:afterAutospacing="0" w:line="360" w:lineRule="auto"/>
              <w:ind w:left="120" w:right="0"/>
              <w:jc w:val="center"/>
              <w:rPr>
                <w:rFonts w:hint="eastAsia" w:ascii="宋体" w:hAnsi="宋体" w:cs="宋体"/>
                <w:color w:val="auto"/>
                <w:highlight w:val="none"/>
                <w:lang w:eastAsia="zh-CN"/>
              </w:rPr>
            </w:pPr>
            <w:r>
              <w:rPr>
                <w:rFonts w:hint="eastAsia" w:ascii="宋体" w:hAnsi="宋体" w:cs="宋体"/>
                <w:color w:val="auto"/>
                <w:highlight w:val="none"/>
                <w:lang w:eastAsia="zh-CN"/>
              </w:rPr>
              <w:t>报价（下浮比例）</w:t>
            </w:r>
          </w:p>
        </w:tc>
        <w:tc>
          <w:tcPr>
            <w:tcW w:w="2537" w:type="dxa"/>
            <w:tcBorders>
              <w:top w:val="single" w:color="auto" w:sz="4" w:space="0"/>
              <w:left w:val="single" w:color="auto" w:sz="4" w:space="0"/>
              <w:bottom w:val="single" w:color="auto" w:sz="4" w:space="0"/>
              <w:right w:val="single" w:color="auto" w:sz="4" w:space="0"/>
            </w:tcBorders>
            <w:noWrap w:val="0"/>
            <w:vAlign w:val="center"/>
          </w:tcPr>
          <w:p w14:paraId="0F8DF2BD">
            <w:pPr>
              <w:keepNext w:val="0"/>
              <w:keepLines w:val="0"/>
              <w:widowControl/>
              <w:suppressLineNumbers w:val="0"/>
              <w:spacing w:before="0" w:beforeAutospacing="0" w:after="0" w:afterAutospacing="0" w:line="360" w:lineRule="auto"/>
              <w:ind w:left="120" w:right="0"/>
              <w:jc w:val="center"/>
              <w:rPr>
                <w:rFonts w:hint="eastAsia" w:ascii="宋体" w:hAnsi="宋体" w:cs="宋体"/>
                <w:color w:val="auto"/>
                <w:highlight w:val="none"/>
                <w:lang w:eastAsia="zh-CN"/>
              </w:rPr>
            </w:pPr>
            <w:r>
              <w:rPr>
                <w:rFonts w:hint="eastAsia" w:ascii="宋体" w:hAnsi="宋体" w:cs="宋体"/>
                <w:color w:val="auto"/>
                <w:highlight w:val="none"/>
                <w:lang w:eastAsia="zh-CN"/>
              </w:rPr>
              <w:t>备注</w:t>
            </w:r>
          </w:p>
        </w:tc>
      </w:tr>
      <w:tr w14:paraId="2DF63C93">
        <w:tblPrEx>
          <w:tblCellMar>
            <w:top w:w="0" w:type="dxa"/>
            <w:left w:w="108" w:type="dxa"/>
            <w:bottom w:w="0" w:type="dxa"/>
            <w:right w:w="108" w:type="dxa"/>
          </w:tblCellMar>
        </w:tblPrEx>
        <w:trPr>
          <w:trHeight w:val="1929" w:hRule="atLeast"/>
        </w:trPr>
        <w:tc>
          <w:tcPr>
            <w:tcW w:w="1299" w:type="dxa"/>
            <w:tcBorders>
              <w:top w:val="single" w:color="auto" w:sz="4" w:space="0"/>
              <w:left w:val="single" w:color="auto" w:sz="4" w:space="0"/>
              <w:bottom w:val="single" w:color="auto" w:sz="4" w:space="0"/>
              <w:right w:val="single" w:color="auto" w:sz="4" w:space="0"/>
            </w:tcBorders>
            <w:noWrap w:val="0"/>
            <w:vAlign w:val="center"/>
          </w:tcPr>
          <w:p w14:paraId="5311E40D">
            <w:pPr>
              <w:keepNext w:val="0"/>
              <w:keepLines w:val="0"/>
              <w:widowControl/>
              <w:suppressLineNumbers w:val="0"/>
              <w:spacing w:before="0" w:beforeAutospacing="0" w:after="0" w:afterAutospacing="0" w:line="360" w:lineRule="auto"/>
              <w:ind w:left="120" w:right="0"/>
              <w:jc w:val="center"/>
              <w:rPr>
                <w:rFonts w:hint="eastAsia" w:ascii="宋体" w:hAnsi="宋体" w:eastAsia="宋体" w:cs="宋体"/>
                <w:color w:val="auto"/>
                <w:highlight w:val="none"/>
                <w:lang w:val="en-US" w:eastAsia="zh-CN" w:bidi="ar"/>
              </w:rPr>
            </w:pPr>
            <w:r>
              <w:rPr>
                <w:rFonts w:hint="eastAsia" w:ascii="宋体" w:hAnsi="宋体" w:cs="宋体"/>
                <w:color w:val="auto"/>
                <w:highlight w:val="none"/>
                <w:lang w:val="en-US" w:eastAsia="zh-CN" w:bidi="ar"/>
              </w:rPr>
              <w:t>1</w:t>
            </w:r>
          </w:p>
        </w:tc>
        <w:tc>
          <w:tcPr>
            <w:tcW w:w="2958" w:type="dxa"/>
            <w:tcBorders>
              <w:top w:val="single" w:color="auto" w:sz="4" w:space="0"/>
              <w:left w:val="nil"/>
              <w:bottom w:val="single" w:color="auto" w:sz="4" w:space="0"/>
              <w:right w:val="single" w:color="auto" w:sz="4" w:space="0"/>
            </w:tcBorders>
            <w:noWrap w:val="0"/>
            <w:vAlign w:val="center"/>
          </w:tcPr>
          <w:p w14:paraId="2E170FD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四川信息职业技术学院工程造价咨询服务采购项目</w:t>
            </w:r>
          </w:p>
        </w:tc>
        <w:tc>
          <w:tcPr>
            <w:tcW w:w="2875" w:type="dxa"/>
            <w:tcBorders>
              <w:top w:val="single" w:color="auto" w:sz="4" w:space="0"/>
              <w:left w:val="single" w:color="auto" w:sz="4" w:space="0"/>
              <w:bottom w:val="single" w:color="auto" w:sz="4" w:space="0"/>
              <w:right w:val="single" w:color="auto" w:sz="4" w:space="0"/>
            </w:tcBorders>
            <w:noWrap w:val="0"/>
            <w:vAlign w:val="center"/>
          </w:tcPr>
          <w:p w14:paraId="105BB5C2">
            <w:pPr>
              <w:keepNext w:val="0"/>
              <w:keepLines w:val="0"/>
              <w:widowControl/>
              <w:suppressLineNumbers w:val="0"/>
              <w:spacing w:before="0" w:beforeAutospacing="0" w:after="0" w:afterAutospacing="0" w:line="360" w:lineRule="auto"/>
              <w:ind w:left="120" w:right="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下浮：___%</w:t>
            </w:r>
          </w:p>
        </w:tc>
        <w:tc>
          <w:tcPr>
            <w:tcW w:w="2537" w:type="dxa"/>
            <w:tcBorders>
              <w:top w:val="single" w:color="auto" w:sz="4" w:space="0"/>
              <w:left w:val="single" w:color="auto" w:sz="4" w:space="0"/>
              <w:bottom w:val="single" w:color="auto" w:sz="4" w:space="0"/>
              <w:right w:val="single" w:color="auto" w:sz="4" w:space="0"/>
            </w:tcBorders>
            <w:noWrap w:val="0"/>
            <w:vAlign w:val="center"/>
          </w:tcPr>
          <w:p w14:paraId="5EE39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119" w:right="0" w:firstLine="420" w:firstLineChars="200"/>
              <w:jc w:val="both"/>
              <w:textAlignment w:val="auto"/>
              <w:rPr>
                <w:rFonts w:hint="eastAsia" w:ascii="宋体" w:hAnsi="宋体" w:cs="宋体"/>
                <w:color w:val="FF0000"/>
                <w:highlight w:val="none"/>
                <w:lang w:val="en-US" w:eastAsia="zh-CN"/>
              </w:rPr>
            </w:pPr>
          </w:p>
        </w:tc>
      </w:tr>
      <w:tr w14:paraId="59C22301">
        <w:tblPrEx>
          <w:tblCellMar>
            <w:top w:w="0" w:type="dxa"/>
            <w:left w:w="108" w:type="dxa"/>
            <w:bottom w:w="0" w:type="dxa"/>
            <w:right w:w="108" w:type="dxa"/>
          </w:tblCellMar>
        </w:tblPrEx>
        <w:trPr>
          <w:trHeight w:val="854" w:hRule="atLeast"/>
        </w:trPr>
        <w:tc>
          <w:tcPr>
            <w:tcW w:w="9669" w:type="dxa"/>
            <w:gridSpan w:val="4"/>
            <w:tcBorders>
              <w:left w:val="single" w:color="auto" w:sz="4" w:space="0"/>
              <w:bottom w:val="single" w:color="auto" w:sz="4" w:space="0"/>
              <w:right w:val="single" w:color="auto" w:sz="4" w:space="0"/>
            </w:tcBorders>
            <w:noWrap w:val="0"/>
            <w:vAlign w:val="center"/>
          </w:tcPr>
          <w:p w14:paraId="49D20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119" w:right="0" w:firstLine="420" w:firstLineChars="200"/>
              <w:jc w:val="both"/>
              <w:textAlignment w:val="auto"/>
              <w:rPr>
                <w:rFonts w:hint="eastAsia" w:ascii="宋体" w:hAnsi="宋体" w:cs="宋体"/>
                <w:color w:val="FF0000"/>
                <w:highlight w:val="none"/>
                <w:lang w:val="en-US" w:eastAsia="zh-CN"/>
              </w:rPr>
            </w:pPr>
            <w:r>
              <w:rPr>
                <w:rFonts w:hint="eastAsia" w:ascii="宋体" w:hAnsi="宋体" w:cs="宋体"/>
                <w:color w:val="auto"/>
                <w:highlight w:val="none"/>
                <w:lang w:val="en-US" w:eastAsia="zh-CN"/>
              </w:rPr>
              <w:t>大写：</w:t>
            </w:r>
          </w:p>
        </w:tc>
      </w:tr>
    </w:tbl>
    <w:p w14:paraId="1BD0A01D">
      <w:pPr>
        <w:spacing w:line="360" w:lineRule="auto"/>
        <w:jc w:val="left"/>
        <w:rPr>
          <w:rFonts w:hint="eastAsia" w:ascii="宋体" w:hAnsi="宋体" w:cs="宋体"/>
          <w:color w:val="auto"/>
          <w:sz w:val="24"/>
          <w:highlight w:val="none"/>
        </w:rPr>
      </w:pPr>
    </w:p>
    <w:bookmarkEnd w:id="90"/>
    <w:bookmarkEnd w:id="91"/>
    <w:bookmarkEnd w:id="92"/>
    <w:p w14:paraId="7B8D76AE">
      <w:pPr>
        <w:pageBreakBefore w:val="0"/>
        <w:kinsoku/>
        <w:wordWrap/>
        <w:topLinePunct w:val="0"/>
        <w:bidi w:val="0"/>
        <w:spacing w:line="460" w:lineRule="exact"/>
        <w:ind w:right="-149" w:rightChars="-71" w:firstLine="361" w:firstLineChars="150"/>
        <w:jc w:val="left"/>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注：1、所有报价均用人民币表示，所报价格是交货地的验收价格，其总价即为履行合同的固定价格。运输、安装、调试、检验、培训、税金和保险等费用以及采购文件规</w:t>
      </w:r>
      <w:r>
        <w:rPr>
          <w:rFonts w:hint="eastAsia" w:ascii="宋体" w:hAnsi="宋体" w:eastAsia="宋体" w:cs="宋体"/>
          <w:b/>
          <w:color w:val="auto"/>
          <w:sz w:val="24"/>
          <w:highlight w:val="none"/>
        </w:rPr>
        <w:t>定的其他费用均应包含在报价中</w:t>
      </w:r>
      <w:r>
        <w:rPr>
          <w:rFonts w:hint="eastAsia" w:ascii="宋体" w:hAnsi="宋体" w:eastAsia="宋体" w:cs="宋体"/>
          <w:b/>
          <w:color w:val="auto"/>
          <w:sz w:val="24"/>
          <w:highlight w:val="none"/>
          <w:lang w:eastAsia="zh-CN"/>
        </w:rPr>
        <w:t>。</w:t>
      </w:r>
    </w:p>
    <w:p w14:paraId="65C94A4E">
      <w:pPr>
        <w:pStyle w:val="72"/>
        <w:spacing w:line="360" w:lineRule="auto"/>
        <w:ind w:left="420" w:leftChars="200" w:firstLine="360" w:firstLineChars="150"/>
        <w:rPr>
          <w:rFonts w:hint="eastAsia" w:ascii="宋体" w:hAnsi="宋体" w:eastAsia="宋体" w:cs="宋体"/>
          <w:bCs/>
          <w:color w:val="auto"/>
          <w:highlight w:val="none"/>
          <w:lang w:val="en-US" w:eastAsia="zh-CN"/>
        </w:rPr>
      </w:pPr>
    </w:p>
    <w:p w14:paraId="1EE93519">
      <w:pPr>
        <w:pStyle w:val="72"/>
        <w:spacing w:line="360" w:lineRule="auto"/>
        <w:ind w:left="420" w:leftChars="200" w:firstLine="360" w:firstLineChars="150"/>
        <w:rPr>
          <w:rFonts w:ascii="宋体" w:hAnsi="宋体" w:eastAsia="宋体" w:cs="宋体"/>
          <w:bCs/>
          <w:color w:val="auto"/>
          <w:highlight w:val="none"/>
        </w:rPr>
      </w:pPr>
    </w:p>
    <w:p w14:paraId="2A231334">
      <w:pPr>
        <w:spacing w:line="360" w:lineRule="auto"/>
        <w:ind w:left="420" w:leftChars="200" w:firstLine="360" w:firstLineChars="150"/>
        <w:jc w:val="left"/>
        <w:rPr>
          <w:rFonts w:ascii="宋体" w:hAnsi="宋体" w:cs="宋体"/>
          <w:color w:val="auto"/>
          <w:sz w:val="24"/>
          <w:highlight w:val="none"/>
        </w:rPr>
      </w:pPr>
      <w:r>
        <w:rPr>
          <w:rFonts w:hint="eastAsia" w:ascii="宋体" w:hAnsi="宋体" w:cs="宋体"/>
          <w:color w:val="auto"/>
          <w:sz w:val="24"/>
          <w:highlight w:val="none"/>
        </w:rPr>
        <w:t>磋商供应商名称：XXXX。</w:t>
      </w:r>
    </w:p>
    <w:p w14:paraId="733EF765">
      <w:pPr>
        <w:spacing w:line="360" w:lineRule="auto"/>
        <w:ind w:left="420" w:leftChars="200" w:firstLine="360" w:firstLineChars="150"/>
        <w:jc w:val="left"/>
        <w:rPr>
          <w:rFonts w:ascii="宋体" w:hAnsi="宋体" w:cs="宋体"/>
          <w:color w:val="auto"/>
          <w:sz w:val="24"/>
          <w:highlight w:val="none"/>
        </w:rPr>
      </w:pPr>
      <w:r>
        <w:rPr>
          <w:rFonts w:hint="eastAsia" w:ascii="宋体" w:hAnsi="宋体" w:cs="宋体"/>
          <w:color w:val="auto"/>
          <w:sz w:val="24"/>
          <w:highlight w:val="none"/>
        </w:rPr>
        <w:t>法定代表人或授权代表（签字或加盖个人名章）：XXXX。</w:t>
      </w:r>
    </w:p>
    <w:p w14:paraId="1676E1FA">
      <w:pPr>
        <w:spacing w:line="360" w:lineRule="auto"/>
        <w:ind w:left="420" w:leftChars="200" w:firstLine="360" w:firstLineChars="150"/>
        <w:jc w:val="left"/>
        <w:rPr>
          <w:rFonts w:ascii="宋体" w:hAnsi="宋体" w:cs="宋体"/>
          <w:color w:val="auto"/>
          <w:sz w:val="24"/>
          <w:highlight w:val="none"/>
        </w:rPr>
      </w:pPr>
      <w:r>
        <w:rPr>
          <w:rFonts w:hint="eastAsia" w:ascii="宋体" w:hAnsi="宋体" w:cs="宋体"/>
          <w:color w:val="auto"/>
          <w:sz w:val="24"/>
          <w:highlight w:val="none"/>
        </w:rPr>
        <w:t>日    期:XXXX。</w:t>
      </w:r>
    </w:p>
    <w:p w14:paraId="7201C498">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eastAsia="宋体" w:cs="宋体"/>
          <w:b/>
          <w:color w:val="auto"/>
          <w:sz w:val="32"/>
          <w:szCs w:val="28"/>
          <w:highlight w:val="none"/>
          <w:lang w:eastAsia="zh-CN"/>
        </w:rPr>
        <w:t>七</w:t>
      </w:r>
      <w:r>
        <w:rPr>
          <w:rFonts w:hint="eastAsia" w:ascii="宋体" w:hAnsi="宋体" w:eastAsia="宋体" w:cs="宋体"/>
          <w:b/>
          <w:color w:val="auto"/>
          <w:sz w:val="32"/>
          <w:szCs w:val="28"/>
          <w:highlight w:val="none"/>
        </w:rPr>
        <w:t>、第</w:t>
      </w:r>
      <w:r>
        <w:rPr>
          <w:rFonts w:hint="eastAsia" w:ascii="宋体" w:hAnsi="宋体" w:cs="宋体"/>
          <w:b/>
          <w:color w:val="auto"/>
          <w:sz w:val="32"/>
          <w:szCs w:val="28"/>
          <w:highlight w:val="none"/>
          <w:u w:val="single"/>
        </w:rPr>
        <w:t xml:space="preserve"> </w:t>
      </w:r>
      <w:r>
        <w:rPr>
          <w:rFonts w:hint="eastAsia" w:ascii="宋体" w:hAnsi="宋体" w:cs="宋体"/>
          <w:b/>
          <w:color w:val="auto"/>
          <w:sz w:val="32"/>
          <w:szCs w:val="28"/>
          <w:highlight w:val="none"/>
          <w:u w:val="single"/>
          <w:lang w:val="en-US" w:eastAsia="zh-CN"/>
        </w:rPr>
        <w:t xml:space="preserve">  </w:t>
      </w:r>
      <w:r>
        <w:rPr>
          <w:rFonts w:hint="eastAsia" w:ascii="宋体" w:hAnsi="宋体" w:cs="宋体"/>
          <w:b/>
          <w:color w:val="auto"/>
          <w:sz w:val="32"/>
          <w:szCs w:val="28"/>
          <w:highlight w:val="none"/>
          <w:u w:val="single"/>
        </w:rPr>
        <w:t xml:space="preserve"> </w:t>
      </w:r>
      <w:r>
        <w:rPr>
          <w:rFonts w:hint="eastAsia" w:ascii="宋体" w:hAnsi="宋体" w:cs="宋体"/>
          <w:b/>
          <w:color w:val="auto"/>
          <w:sz w:val="32"/>
          <w:szCs w:val="28"/>
          <w:highlight w:val="none"/>
        </w:rPr>
        <w:t>轮报价/最后报价(根据磋商实际情况选择)</w:t>
      </w:r>
    </w:p>
    <w:p w14:paraId="48E9F772">
      <w:pPr>
        <w:overflowPunct w:val="0"/>
        <w:spacing w:line="360" w:lineRule="auto"/>
        <w:ind w:firstLine="480" w:firstLineChars="200"/>
        <w:rPr>
          <w:rFonts w:hint="eastAsia" w:ascii="宋体" w:hAnsi="宋体" w:cs="宋体"/>
          <w:color w:val="auto"/>
          <w:sz w:val="24"/>
          <w:highlight w:val="none"/>
        </w:rPr>
      </w:pPr>
    </w:p>
    <w:p w14:paraId="77AD4113">
      <w:pPr>
        <w:overflowPunct w:val="0"/>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202607SJ002</w:t>
      </w:r>
    </w:p>
    <w:tbl>
      <w:tblPr>
        <w:tblStyle w:val="32"/>
        <w:tblW w:w="9669" w:type="dxa"/>
        <w:tblInd w:w="0" w:type="dxa"/>
        <w:tblLayout w:type="fixed"/>
        <w:tblCellMar>
          <w:top w:w="0" w:type="dxa"/>
          <w:left w:w="108" w:type="dxa"/>
          <w:bottom w:w="0" w:type="dxa"/>
          <w:right w:w="108" w:type="dxa"/>
        </w:tblCellMar>
      </w:tblPr>
      <w:tblGrid>
        <w:gridCol w:w="1299"/>
        <w:gridCol w:w="2902"/>
        <w:gridCol w:w="2884"/>
        <w:gridCol w:w="2584"/>
      </w:tblGrid>
      <w:tr w14:paraId="320AE232">
        <w:tblPrEx>
          <w:tblCellMar>
            <w:top w:w="0" w:type="dxa"/>
            <w:left w:w="108" w:type="dxa"/>
            <w:bottom w:w="0" w:type="dxa"/>
            <w:right w:w="108" w:type="dxa"/>
          </w:tblCellMar>
        </w:tblPrEx>
        <w:trPr>
          <w:trHeight w:val="695" w:hRule="atLeast"/>
        </w:trPr>
        <w:tc>
          <w:tcPr>
            <w:tcW w:w="1299" w:type="dxa"/>
            <w:tcBorders>
              <w:top w:val="single" w:color="auto" w:sz="4" w:space="0"/>
              <w:left w:val="single" w:color="auto" w:sz="4" w:space="0"/>
              <w:bottom w:val="single" w:color="auto" w:sz="4" w:space="0"/>
              <w:right w:val="single" w:color="auto" w:sz="4" w:space="0"/>
            </w:tcBorders>
            <w:noWrap w:val="0"/>
            <w:vAlign w:val="center"/>
          </w:tcPr>
          <w:p w14:paraId="351A21FD">
            <w:pPr>
              <w:keepNext w:val="0"/>
              <w:keepLines w:val="0"/>
              <w:widowControl/>
              <w:suppressLineNumbers w:val="0"/>
              <w:spacing w:before="0" w:beforeAutospacing="0" w:after="0" w:afterAutospacing="0" w:line="360" w:lineRule="auto"/>
              <w:ind w:left="120" w:right="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序号</w:t>
            </w:r>
          </w:p>
        </w:tc>
        <w:tc>
          <w:tcPr>
            <w:tcW w:w="2902" w:type="dxa"/>
            <w:tcBorders>
              <w:top w:val="single" w:color="auto" w:sz="4" w:space="0"/>
              <w:left w:val="nil"/>
              <w:bottom w:val="single" w:color="auto" w:sz="4" w:space="0"/>
              <w:right w:val="single" w:color="auto" w:sz="4" w:space="0"/>
            </w:tcBorders>
            <w:noWrap w:val="0"/>
            <w:vAlign w:val="center"/>
          </w:tcPr>
          <w:p w14:paraId="75123E2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项目内容</w:t>
            </w:r>
          </w:p>
        </w:tc>
        <w:tc>
          <w:tcPr>
            <w:tcW w:w="2884" w:type="dxa"/>
            <w:tcBorders>
              <w:top w:val="single" w:color="auto" w:sz="4" w:space="0"/>
              <w:left w:val="single" w:color="auto" w:sz="4" w:space="0"/>
              <w:bottom w:val="single" w:color="auto" w:sz="4" w:space="0"/>
              <w:right w:val="single" w:color="auto" w:sz="4" w:space="0"/>
            </w:tcBorders>
            <w:noWrap w:val="0"/>
            <w:vAlign w:val="center"/>
          </w:tcPr>
          <w:p w14:paraId="5B3C1014">
            <w:pPr>
              <w:keepNext w:val="0"/>
              <w:keepLines w:val="0"/>
              <w:widowControl/>
              <w:suppressLineNumbers w:val="0"/>
              <w:spacing w:before="0" w:beforeAutospacing="0" w:after="0" w:afterAutospacing="0" w:line="360" w:lineRule="auto"/>
              <w:ind w:left="120" w:right="0"/>
              <w:jc w:val="center"/>
              <w:rPr>
                <w:rFonts w:hint="eastAsia" w:ascii="宋体" w:hAnsi="宋体" w:cs="宋体"/>
                <w:color w:val="auto"/>
                <w:highlight w:val="none"/>
                <w:lang w:eastAsia="zh-CN"/>
              </w:rPr>
            </w:pPr>
            <w:r>
              <w:rPr>
                <w:rFonts w:hint="eastAsia" w:ascii="宋体" w:hAnsi="宋体" w:cs="宋体"/>
                <w:color w:val="auto"/>
                <w:highlight w:val="none"/>
                <w:lang w:eastAsia="zh-CN"/>
              </w:rPr>
              <w:t>报价（下浮比例）</w:t>
            </w:r>
          </w:p>
        </w:tc>
        <w:tc>
          <w:tcPr>
            <w:tcW w:w="2584" w:type="dxa"/>
            <w:tcBorders>
              <w:top w:val="single" w:color="auto" w:sz="4" w:space="0"/>
              <w:left w:val="single" w:color="auto" w:sz="4" w:space="0"/>
              <w:bottom w:val="single" w:color="auto" w:sz="4" w:space="0"/>
              <w:right w:val="single" w:color="auto" w:sz="4" w:space="0"/>
            </w:tcBorders>
            <w:noWrap w:val="0"/>
            <w:vAlign w:val="center"/>
          </w:tcPr>
          <w:p w14:paraId="35E4A831">
            <w:pPr>
              <w:keepNext w:val="0"/>
              <w:keepLines w:val="0"/>
              <w:widowControl/>
              <w:suppressLineNumbers w:val="0"/>
              <w:spacing w:before="0" w:beforeAutospacing="0" w:after="0" w:afterAutospacing="0" w:line="360" w:lineRule="auto"/>
              <w:ind w:left="120" w:right="0"/>
              <w:jc w:val="center"/>
              <w:rPr>
                <w:rFonts w:hint="eastAsia" w:ascii="宋体" w:hAnsi="宋体" w:cs="宋体"/>
                <w:color w:val="auto"/>
                <w:highlight w:val="none"/>
                <w:lang w:eastAsia="zh-CN"/>
              </w:rPr>
            </w:pPr>
            <w:r>
              <w:rPr>
                <w:rFonts w:hint="eastAsia" w:ascii="宋体" w:hAnsi="宋体" w:cs="宋体"/>
                <w:color w:val="auto"/>
                <w:highlight w:val="none"/>
                <w:lang w:eastAsia="zh-CN"/>
              </w:rPr>
              <w:t>备注</w:t>
            </w:r>
          </w:p>
        </w:tc>
      </w:tr>
      <w:tr w14:paraId="33578EF3">
        <w:tblPrEx>
          <w:tblCellMar>
            <w:top w:w="0" w:type="dxa"/>
            <w:left w:w="108" w:type="dxa"/>
            <w:bottom w:w="0" w:type="dxa"/>
            <w:right w:w="108" w:type="dxa"/>
          </w:tblCellMar>
        </w:tblPrEx>
        <w:trPr>
          <w:trHeight w:val="1929" w:hRule="atLeast"/>
        </w:trPr>
        <w:tc>
          <w:tcPr>
            <w:tcW w:w="1299" w:type="dxa"/>
            <w:tcBorders>
              <w:top w:val="single" w:color="auto" w:sz="4" w:space="0"/>
              <w:left w:val="single" w:color="auto" w:sz="4" w:space="0"/>
              <w:bottom w:val="single" w:color="auto" w:sz="4" w:space="0"/>
              <w:right w:val="single" w:color="auto" w:sz="4" w:space="0"/>
            </w:tcBorders>
            <w:noWrap w:val="0"/>
            <w:vAlign w:val="center"/>
          </w:tcPr>
          <w:p w14:paraId="4160B6CB">
            <w:pPr>
              <w:keepNext w:val="0"/>
              <w:keepLines w:val="0"/>
              <w:widowControl/>
              <w:suppressLineNumbers w:val="0"/>
              <w:spacing w:before="0" w:beforeAutospacing="0" w:after="0" w:afterAutospacing="0" w:line="360" w:lineRule="auto"/>
              <w:ind w:left="120" w:right="0"/>
              <w:jc w:val="center"/>
              <w:rPr>
                <w:rFonts w:hint="eastAsia" w:ascii="宋体" w:hAnsi="宋体" w:eastAsia="宋体" w:cs="宋体"/>
                <w:color w:val="auto"/>
                <w:highlight w:val="none"/>
                <w:lang w:val="en-US" w:eastAsia="zh-CN" w:bidi="ar"/>
              </w:rPr>
            </w:pPr>
            <w:r>
              <w:rPr>
                <w:rFonts w:hint="eastAsia" w:ascii="宋体" w:hAnsi="宋体" w:cs="宋体"/>
                <w:color w:val="auto"/>
                <w:highlight w:val="none"/>
                <w:lang w:val="en-US" w:eastAsia="zh-CN" w:bidi="ar"/>
              </w:rPr>
              <w:t>1</w:t>
            </w:r>
          </w:p>
        </w:tc>
        <w:tc>
          <w:tcPr>
            <w:tcW w:w="2902" w:type="dxa"/>
            <w:tcBorders>
              <w:top w:val="single" w:color="auto" w:sz="4" w:space="0"/>
              <w:left w:val="nil"/>
              <w:bottom w:val="single" w:color="auto" w:sz="4" w:space="0"/>
              <w:right w:val="single" w:color="auto" w:sz="4" w:space="0"/>
            </w:tcBorders>
            <w:noWrap w:val="0"/>
            <w:vAlign w:val="center"/>
          </w:tcPr>
          <w:p w14:paraId="240EF5E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四川信息职业技术学院工程造价咨询服务采购项目</w:t>
            </w:r>
          </w:p>
        </w:tc>
        <w:tc>
          <w:tcPr>
            <w:tcW w:w="2884" w:type="dxa"/>
            <w:tcBorders>
              <w:top w:val="single" w:color="auto" w:sz="4" w:space="0"/>
              <w:left w:val="single" w:color="auto" w:sz="4" w:space="0"/>
              <w:bottom w:val="single" w:color="auto" w:sz="4" w:space="0"/>
              <w:right w:val="single" w:color="auto" w:sz="4" w:space="0"/>
            </w:tcBorders>
            <w:noWrap w:val="0"/>
            <w:vAlign w:val="center"/>
          </w:tcPr>
          <w:p w14:paraId="03BD689A">
            <w:pPr>
              <w:keepNext w:val="0"/>
              <w:keepLines w:val="0"/>
              <w:widowControl/>
              <w:suppressLineNumbers w:val="0"/>
              <w:spacing w:before="0" w:beforeAutospacing="0" w:after="0" w:afterAutospacing="0" w:line="360" w:lineRule="auto"/>
              <w:ind w:left="120" w:right="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下浮：___%</w:t>
            </w:r>
          </w:p>
        </w:tc>
        <w:tc>
          <w:tcPr>
            <w:tcW w:w="2584" w:type="dxa"/>
            <w:tcBorders>
              <w:top w:val="single" w:color="auto" w:sz="4" w:space="0"/>
              <w:left w:val="single" w:color="auto" w:sz="4" w:space="0"/>
              <w:bottom w:val="single" w:color="auto" w:sz="4" w:space="0"/>
              <w:right w:val="single" w:color="auto" w:sz="4" w:space="0"/>
            </w:tcBorders>
            <w:noWrap w:val="0"/>
            <w:vAlign w:val="center"/>
          </w:tcPr>
          <w:p w14:paraId="059F07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119" w:right="0" w:firstLine="420" w:firstLineChars="200"/>
              <w:jc w:val="both"/>
              <w:textAlignment w:val="auto"/>
              <w:rPr>
                <w:rFonts w:hint="eastAsia" w:ascii="宋体" w:hAnsi="宋体" w:cs="宋体"/>
                <w:color w:val="FF0000"/>
                <w:highlight w:val="none"/>
                <w:lang w:val="en-US" w:eastAsia="zh-CN"/>
              </w:rPr>
            </w:pPr>
          </w:p>
        </w:tc>
      </w:tr>
      <w:tr w14:paraId="2B5B650E">
        <w:tblPrEx>
          <w:tblCellMar>
            <w:top w:w="0" w:type="dxa"/>
            <w:left w:w="108" w:type="dxa"/>
            <w:bottom w:w="0" w:type="dxa"/>
            <w:right w:w="108" w:type="dxa"/>
          </w:tblCellMar>
        </w:tblPrEx>
        <w:trPr>
          <w:trHeight w:val="854" w:hRule="atLeast"/>
        </w:trPr>
        <w:tc>
          <w:tcPr>
            <w:tcW w:w="9669" w:type="dxa"/>
            <w:gridSpan w:val="4"/>
            <w:tcBorders>
              <w:left w:val="single" w:color="auto" w:sz="4" w:space="0"/>
              <w:bottom w:val="single" w:color="auto" w:sz="4" w:space="0"/>
              <w:right w:val="single" w:color="auto" w:sz="4" w:space="0"/>
            </w:tcBorders>
            <w:noWrap w:val="0"/>
            <w:vAlign w:val="center"/>
          </w:tcPr>
          <w:p w14:paraId="1234A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119" w:right="0" w:firstLine="420" w:firstLineChars="200"/>
              <w:jc w:val="both"/>
              <w:textAlignment w:val="auto"/>
              <w:rPr>
                <w:rFonts w:hint="eastAsia" w:ascii="宋体" w:hAnsi="宋体" w:cs="宋体"/>
                <w:color w:val="FF0000"/>
                <w:highlight w:val="none"/>
                <w:lang w:val="en-US" w:eastAsia="zh-CN"/>
              </w:rPr>
            </w:pPr>
            <w:r>
              <w:rPr>
                <w:rFonts w:hint="eastAsia" w:ascii="宋体" w:hAnsi="宋体" w:cs="宋体"/>
                <w:color w:val="auto"/>
                <w:highlight w:val="none"/>
                <w:lang w:val="en-US" w:eastAsia="zh-CN"/>
              </w:rPr>
              <w:t>大写：</w:t>
            </w:r>
          </w:p>
        </w:tc>
      </w:tr>
    </w:tbl>
    <w:p w14:paraId="6887722E">
      <w:pPr>
        <w:spacing w:line="360" w:lineRule="auto"/>
        <w:ind w:left="420" w:leftChars="200" w:firstLine="360" w:firstLineChars="150"/>
        <w:jc w:val="left"/>
        <w:rPr>
          <w:rFonts w:hint="eastAsia" w:ascii="宋体" w:hAnsi="宋体" w:cs="宋体"/>
          <w:color w:val="auto"/>
          <w:sz w:val="24"/>
          <w:highlight w:val="none"/>
        </w:rPr>
      </w:pPr>
    </w:p>
    <w:p w14:paraId="5AD0ECD4">
      <w:pPr>
        <w:pageBreakBefore w:val="0"/>
        <w:kinsoku/>
        <w:wordWrap/>
        <w:topLinePunct w:val="0"/>
        <w:bidi w:val="0"/>
        <w:spacing w:line="460" w:lineRule="exact"/>
        <w:ind w:right="-149" w:rightChars="-71" w:firstLine="361" w:firstLineChars="150"/>
        <w:jc w:val="left"/>
        <w:rPr>
          <w:rFonts w:hint="eastAsia" w:ascii="宋体" w:hAnsi="宋体" w:cs="宋体"/>
          <w:b/>
          <w:color w:val="auto"/>
          <w:sz w:val="24"/>
          <w:highlight w:val="none"/>
        </w:rPr>
      </w:pPr>
      <w:r>
        <w:rPr>
          <w:rFonts w:hint="eastAsia" w:ascii="宋体" w:hAnsi="宋体" w:cs="宋体"/>
          <w:b/>
          <w:color w:val="auto"/>
          <w:sz w:val="24"/>
          <w:highlight w:val="none"/>
        </w:rPr>
        <w:t>注：1、所有报价均用人民币表示，所报价格是交货地的验收价格，其总价即为履行合同的固定价格。运输、安装、调试、检验、培训、税金和保险等费用以及采购文件规定的其他费用均应包含在报价中</w:t>
      </w:r>
      <w:r>
        <w:rPr>
          <w:rFonts w:hint="eastAsia" w:ascii="宋体" w:hAnsi="宋体" w:cs="宋体"/>
          <w:b/>
          <w:color w:val="auto"/>
          <w:sz w:val="24"/>
          <w:highlight w:val="none"/>
          <w:lang w:eastAsia="zh-CN"/>
        </w:rPr>
        <w:t>。</w:t>
      </w:r>
    </w:p>
    <w:p w14:paraId="7E7494F6">
      <w:pPr>
        <w:spacing w:line="360" w:lineRule="auto"/>
        <w:ind w:left="420" w:leftChars="200" w:firstLine="361" w:firstLineChars="150"/>
        <w:jc w:val="left"/>
        <w:rPr>
          <w:rFonts w:ascii="宋体" w:hAnsi="宋体" w:cs="宋体"/>
          <w:b/>
          <w:bCs/>
          <w:color w:val="auto"/>
          <w:sz w:val="24"/>
          <w:highlight w:val="none"/>
        </w:rPr>
      </w:pPr>
      <w:r>
        <w:rPr>
          <w:rFonts w:hint="eastAsia" w:ascii="宋体" w:hAnsi="宋体" w:cs="宋体"/>
          <w:b/>
          <w:bCs/>
          <w:color w:val="auto"/>
          <w:sz w:val="24"/>
          <w:highlight w:val="none"/>
        </w:rPr>
        <w:t>2、此报价表不做在响应文件中，响应文件通过审查后在报价环节现场填写并递交。</w:t>
      </w:r>
    </w:p>
    <w:p w14:paraId="3F4577B9">
      <w:pPr>
        <w:pStyle w:val="72"/>
        <w:spacing w:line="360" w:lineRule="auto"/>
        <w:ind w:left="420" w:leftChars="200" w:firstLine="360" w:firstLineChars="150"/>
        <w:rPr>
          <w:rFonts w:hint="eastAsia" w:ascii="宋体" w:hAnsi="宋体" w:eastAsia="宋体" w:cs="宋体"/>
          <w:bCs/>
          <w:color w:val="auto"/>
          <w:highlight w:val="none"/>
        </w:rPr>
      </w:pPr>
    </w:p>
    <w:p w14:paraId="46A6996D">
      <w:pPr>
        <w:pStyle w:val="72"/>
        <w:spacing w:line="360" w:lineRule="auto"/>
        <w:ind w:left="420" w:leftChars="200" w:firstLine="360" w:firstLineChars="150"/>
        <w:rPr>
          <w:rFonts w:ascii="宋体" w:hAnsi="宋体" w:eastAsia="宋体" w:cs="宋体"/>
          <w:bCs/>
          <w:color w:val="auto"/>
          <w:highlight w:val="none"/>
        </w:rPr>
      </w:pPr>
    </w:p>
    <w:p w14:paraId="337275C0">
      <w:pPr>
        <w:spacing w:line="360" w:lineRule="auto"/>
        <w:ind w:left="420" w:leftChars="200"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磋商供应商名称：</w:t>
      </w:r>
      <w:r>
        <w:rPr>
          <w:rFonts w:hint="eastAsia" w:ascii="宋体" w:hAnsi="宋体" w:cs="宋体"/>
          <w:color w:val="auto"/>
          <w:sz w:val="24"/>
          <w:highlight w:val="none"/>
          <w:lang w:val="en-US" w:eastAsia="zh-CN"/>
        </w:rPr>
        <w:t xml:space="preserve"> </w:t>
      </w:r>
    </w:p>
    <w:p w14:paraId="456E2673">
      <w:pPr>
        <w:spacing w:line="360" w:lineRule="auto"/>
        <w:ind w:left="420" w:leftChars="200" w:firstLine="360" w:firstLineChars="150"/>
        <w:jc w:val="left"/>
        <w:rPr>
          <w:rFonts w:ascii="宋体" w:hAnsi="宋体" w:cs="宋体"/>
          <w:color w:val="auto"/>
          <w:sz w:val="24"/>
          <w:highlight w:val="none"/>
        </w:rPr>
      </w:pPr>
      <w:r>
        <w:rPr>
          <w:rFonts w:hint="eastAsia" w:ascii="宋体" w:hAnsi="宋体" w:cs="宋体"/>
          <w:color w:val="auto"/>
          <w:sz w:val="24"/>
          <w:highlight w:val="none"/>
        </w:rPr>
        <w:t>法定代表人或授权代表（签字或加盖个人名章）：</w:t>
      </w:r>
    </w:p>
    <w:p w14:paraId="412C3BE4">
      <w:pPr>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rPr>
        <w:t>日    期:</w:t>
      </w:r>
    </w:p>
    <w:p w14:paraId="14BFDE9C">
      <w:pPr>
        <w:pStyle w:val="11"/>
        <w:numPr>
          <w:ilvl w:val="0"/>
          <w:numId w:val="0"/>
        </w:numPr>
        <w:ind w:firstLine="630" w:firstLineChars="300"/>
        <w:rPr>
          <w:rFonts w:hint="eastAsia"/>
          <w:color w:val="auto"/>
          <w:highlight w:val="none"/>
          <w:lang w:eastAsia="zh-CN"/>
        </w:rPr>
      </w:pPr>
    </w:p>
    <w:p w14:paraId="19BA435E">
      <w:pPr>
        <w:spacing w:line="360" w:lineRule="auto"/>
        <w:jc w:val="left"/>
        <w:rPr>
          <w:rFonts w:ascii="宋体" w:hAnsi="宋体" w:cs="宋体"/>
          <w:color w:val="auto"/>
          <w:sz w:val="24"/>
          <w:highlight w:val="none"/>
        </w:rPr>
      </w:pPr>
    </w:p>
    <w:p w14:paraId="6F99B181">
      <w:pPr>
        <w:pStyle w:val="11"/>
        <w:rPr>
          <w:rFonts w:hint="eastAsia"/>
          <w:color w:val="auto"/>
          <w:highlight w:val="none"/>
        </w:rPr>
      </w:pPr>
    </w:p>
    <w:p w14:paraId="121B7FE6">
      <w:pPr>
        <w:spacing w:line="360" w:lineRule="auto"/>
        <w:jc w:val="center"/>
        <w:rPr>
          <w:rFonts w:hint="eastAsia" w:ascii="宋体" w:hAnsi="宋体"/>
          <w:b/>
          <w:bCs/>
          <w:color w:val="auto"/>
          <w:sz w:val="32"/>
          <w:szCs w:val="32"/>
          <w:highlight w:val="none"/>
        </w:rPr>
      </w:pPr>
      <w:r>
        <w:rPr>
          <w:rFonts w:hint="eastAsia" w:ascii="宋体" w:hAnsi="宋体" w:cs="宋体"/>
          <w:color w:val="auto"/>
          <w:sz w:val="28"/>
          <w:szCs w:val="28"/>
          <w:highlight w:val="none"/>
        </w:rPr>
        <w:br w:type="page"/>
      </w:r>
      <w:r>
        <w:rPr>
          <w:rFonts w:hint="eastAsia" w:ascii="宋体" w:hAnsi="宋体" w:eastAsia="宋体" w:cs="Times New Roman"/>
          <w:b/>
          <w:color w:val="auto"/>
          <w:sz w:val="32"/>
          <w:szCs w:val="32"/>
          <w:highlight w:val="none"/>
          <w:lang w:eastAsia="zh-CN"/>
        </w:rPr>
        <w:t>八</w:t>
      </w:r>
      <w:r>
        <w:rPr>
          <w:rFonts w:hint="eastAsia" w:ascii="宋体" w:hAnsi="宋体" w:eastAsia="宋体" w:cs="Times New Roman"/>
          <w:b/>
          <w:color w:val="auto"/>
          <w:sz w:val="32"/>
          <w:szCs w:val="32"/>
          <w:highlight w:val="none"/>
        </w:rPr>
        <w:t>、</w:t>
      </w:r>
      <w:bookmarkStart w:id="93" w:name="_Toc25148"/>
      <w:r>
        <w:rPr>
          <w:rFonts w:hint="eastAsia" w:ascii="宋体" w:hAnsi="宋体" w:eastAsia="宋体" w:cs="Times New Roman"/>
          <w:b/>
          <w:color w:val="auto"/>
          <w:sz w:val="32"/>
          <w:szCs w:val="32"/>
          <w:highlight w:val="none"/>
        </w:rPr>
        <w:t>中</w:t>
      </w:r>
      <w:r>
        <w:rPr>
          <w:rFonts w:hint="eastAsia" w:ascii="宋体" w:hAnsi="宋体"/>
          <w:b/>
          <w:color w:val="auto"/>
          <w:sz w:val="32"/>
          <w:szCs w:val="32"/>
          <w:highlight w:val="none"/>
        </w:rPr>
        <w:t>小企业声明函（若涉及）</w:t>
      </w:r>
    </w:p>
    <w:p w14:paraId="702933E6">
      <w:pPr>
        <w:spacing w:line="360" w:lineRule="auto"/>
        <w:ind w:firstLine="643" w:firstLineChars="200"/>
        <w:rPr>
          <w:rFonts w:hint="eastAsia" w:ascii="宋体" w:hAnsi="宋体"/>
          <w:b/>
          <w:bCs/>
          <w:color w:val="auto"/>
          <w:sz w:val="32"/>
          <w:szCs w:val="32"/>
          <w:highlight w:val="none"/>
        </w:rPr>
      </w:pPr>
    </w:p>
    <w:p w14:paraId="0B677691">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本公司（联合体）郑重声明，根据《政府采购促进中小企业发展管理办法》（财库﹝2020﹞46号）的规定，本公司（联合体）参加（单位名称）的（项目名称）采购活动，提供的</w:t>
      </w:r>
      <w:r>
        <w:rPr>
          <w:rFonts w:hint="eastAsia" w:ascii="宋体" w:hAnsi="宋体" w:cs="宋体"/>
          <w:color w:val="auto"/>
          <w:spacing w:val="6"/>
          <w:sz w:val="24"/>
          <w:highlight w:val="none"/>
          <w:lang w:eastAsia="zh-CN"/>
        </w:rPr>
        <w:t>服务</w:t>
      </w:r>
      <w:r>
        <w:rPr>
          <w:rFonts w:hint="eastAsia" w:ascii="宋体" w:hAnsi="宋体" w:cs="宋体"/>
          <w:color w:val="auto"/>
          <w:spacing w:val="6"/>
          <w:sz w:val="24"/>
          <w:highlight w:val="none"/>
        </w:rPr>
        <w:t>全部由符合政策要求的中小企业</w:t>
      </w:r>
      <w:r>
        <w:rPr>
          <w:rFonts w:hint="eastAsia" w:ascii="宋体" w:hAnsi="宋体" w:cs="宋体"/>
          <w:color w:val="auto"/>
          <w:spacing w:val="6"/>
          <w:sz w:val="24"/>
          <w:highlight w:val="none"/>
          <w:lang w:eastAsia="zh-CN"/>
        </w:rPr>
        <w:t>提供</w:t>
      </w:r>
      <w:r>
        <w:rPr>
          <w:rFonts w:hint="eastAsia" w:ascii="宋体" w:hAnsi="宋体" w:cs="宋体"/>
          <w:color w:val="auto"/>
          <w:spacing w:val="6"/>
          <w:sz w:val="24"/>
          <w:highlight w:val="none"/>
        </w:rPr>
        <w:t>。相关企业（含联合体中的中小企业、签订分包意向协议的中小企业）的具体情况如下：</w:t>
      </w:r>
    </w:p>
    <w:p w14:paraId="38393098">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1.（标的名称），属于（采购文件中明确的所属行业）行业；</w:t>
      </w:r>
      <w:r>
        <w:rPr>
          <w:rFonts w:hint="eastAsia" w:ascii="宋体"/>
          <w:color w:val="auto"/>
          <w:sz w:val="24"/>
          <w:highlight w:val="none"/>
        </w:rPr>
        <w:t>承建（承接）</w:t>
      </w:r>
      <w:r>
        <w:rPr>
          <w:rFonts w:hint="eastAsia" w:ascii="宋体" w:hAnsi="宋体" w:cs="宋体"/>
          <w:color w:val="auto"/>
          <w:spacing w:val="6"/>
          <w:sz w:val="24"/>
          <w:highlight w:val="none"/>
        </w:rPr>
        <w:t>为（企业名称），从业人员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万元，属于（中型企业、小型企业、微型企业）；</w:t>
      </w:r>
    </w:p>
    <w:p w14:paraId="75603AD7">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2.（标的名称），属于（采购文件中明确的所属行业）行业；</w:t>
      </w:r>
      <w:r>
        <w:rPr>
          <w:rFonts w:hint="eastAsia" w:ascii="宋体"/>
          <w:color w:val="auto"/>
          <w:sz w:val="24"/>
          <w:highlight w:val="none"/>
        </w:rPr>
        <w:t>承建（承接）</w:t>
      </w:r>
      <w:r>
        <w:rPr>
          <w:rFonts w:hint="eastAsia" w:ascii="宋体" w:hAnsi="宋体" w:cs="宋体"/>
          <w:color w:val="auto"/>
          <w:spacing w:val="6"/>
          <w:sz w:val="24"/>
          <w:highlight w:val="none"/>
        </w:rPr>
        <w:t>为（企业名称），从业人员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万元，属于（中型企业、小型企业、微型企业）；</w:t>
      </w:r>
    </w:p>
    <w:p w14:paraId="25E6BD12">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w:t>
      </w:r>
    </w:p>
    <w:p w14:paraId="04C9F0CF">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0031C68E">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3959F431">
      <w:pPr>
        <w:rPr>
          <w:rFonts w:hint="eastAsia" w:ascii="仿宋_GB2312" w:hAnsi="仿宋_GB2312" w:eastAsia="仿宋_GB2312" w:cs="仿宋_GB2312"/>
          <w:color w:val="auto"/>
          <w:sz w:val="28"/>
          <w:szCs w:val="28"/>
          <w:highlight w:val="none"/>
        </w:rPr>
      </w:pPr>
    </w:p>
    <w:p w14:paraId="0249FD1F">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2CE98F4B">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日 期：</w:t>
      </w:r>
    </w:p>
    <w:p w14:paraId="31044121">
      <w:pPr>
        <w:rPr>
          <w:rFonts w:hint="eastAsia" w:ascii="仿宋_GB2312" w:hAnsi="仿宋_GB2312" w:eastAsia="仿宋_GB2312" w:cs="仿宋_GB2312"/>
          <w:color w:val="auto"/>
          <w:sz w:val="24"/>
          <w:highlight w:val="none"/>
        </w:rPr>
      </w:pPr>
    </w:p>
    <w:p w14:paraId="51106F98">
      <w:pPr>
        <w:spacing w:line="360" w:lineRule="auto"/>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注：从业人员、营业收入、资产总额填报上一年度数据，无上一年度数据的新成立企业可不填报。</w:t>
      </w:r>
    </w:p>
    <w:p w14:paraId="5C37F86D">
      <w:pPr>
        <w:pStyle w:val="72"/>
        <w:jc w:val="center"/>
        <w:outlineLvl w:val="9"/>
        <w:rPr>
          <w:rFonts w:hint="eastAsia" w:ascii="宋体" w:hAnsi="宋体"/>
          <w:bCs/>
          <w:color w:val="auto"/>
          <w:spacing w:val="6"/>
          <w:sz w:val="32"/>
          <w:szCs w:val="32"/>
          <w:highlight w:val="none"/>
        </w:rPr>
      </w:pPr>
    </w:p>
    <w:p w14:paraId="65743DB9">
      <w:pPr>
        <w:pStyle w:val="72"/>
        <w:jc w:val="center"/>
        <w:outlineLvl w:val="9"/>
        <w:rPr>
          <w:rFonts w:hint="eastAsia" w:ascii="宋体" w:hAnsi="宋体"/>
          <w:bCs/>
          <w:color w:val="auto"/>
          <w:spacing w:val="6"/>
          <w:sz w:val="32"/>
          <w:szCs w:val="32"/>
          <w:highlight w:val="none"/>
        </w:rPr>
      </w:pPr>
    </w:p>
    <w:p w14:paraId="4418ED96">
      <w:pPr>
        <w:pStyle w:val="72"/>
        <w:jc w:val="center"/>
        <w:outlineLvl w:val="9"/>
        <w:rPr>
          <w:rFonts w:hint="eastAsia" w:ascii="宋体" w:hAnsi="宋体"/>
          <w:bCs/>
          <w:color w:val="auto"/>
          <w:spacing w:val="6"/>
          <w:sz w:val="32"/>
          <w:szCs w:val="32"/>
          <w:highlight w:val="none"/>
        </w:rPr>
      </w:pPr>
    </w:p>
    <w:p w14:paraId="379FC8EE">
      <w:pPr>
        <w:pStyle w:val="72"/>
        <w:jc w:val="center"/>
        <w:outlineLvl w:val="9"/>
        <w:rPr>
          <w:rFonts w:hint="eastAsia" w:ascii="宋体" w:hAnsi="宋体"/>
          <w:bCs/>
          <w:color w:val="auto"/>
          <w:spacing w:val="6"/>
          <w:sz w:val="32"/>
          <w:szCs w:val="32"/>
          <w:highlight w:val="none"/>
        </w:rPr>
      </w:pPr>
    </w:p>
    <w:p w14:paraId="23D1EA19">
      <w:pPr>
        <w:pStyle w:val="72"/>
        <w:keepNext w:val="0"/>
        <w:keepLines w:val="0"/>
        <w:pageBreakBefore w:val="0"/>
        <w:kinsoku/>
        <w:wordWrap/>
        <w:overflowPunct/>
        <w:topLinePunct w:val="0"/>
        <w:bidi w:val="0"/>
        <w:snapToGrid/>
        <w:jc w:val="center"/>
        <w:textAlignment w:val="auto"/>
        <w:outlineLvl w:val="9"/>
        <w:rPr>
          <w:rFonts w:ascii="宋体" w:hAnsi="宋体"/>
          <w:b/>
          <w:bCs w:val="0"/>
          <w:color w:val="auto"/>
          <w:spacing w:val="6"/>
          <w:sz w:val="32"/>
          <w:szCs w:val="32"/>
          <w:highlight w:val="none"/>
        </w:rPr>
      </w:pPr>
      <w:r>
        <w:rPr>
          <w:rFonts w:hint="eastAsia" w:ascii="宋体" w:hAnsi="宋体"/>
          <w:bCs/>
          <w:color w:val="auto"/>
          <w:spacing w:val="6"/>
          <w:sz w:val="32"/>
          <w:szCs w:val="32"/>
          <w:highlight w:val="none"/>
        </w:rPr>
        <w:br w:type="page"/>
      </w:r>
      <w:r>
        <w:rPr>
          <w:rFonts w:hint="eastAsia" w:ascii="宋体" w:hAnsi="宋体"/>
          <w:b/>
          <w:bCs w:val="0"/>
          <w:color w:val="auto"/>
          <w:spacing w:val="6"/>
          <w:sz w:val="32"/>
          <w:szCs w:val="32"/>
          <w:highlight w:val="none"/>
          <w:lang w:eastAsia="zh-CN"/>
        </w:rPr>
        <w:t>九</w:t>
      </w:r>
      <w:r>
        <w:rPr>
          <w:rFonts w:hint="eastAsia" w:ascii="宋体" w:hAnsi="宋体"/>
          <w:b/>
          <w:bCs w:val="0"/>
          <w:color w:val="auto"/>
          <w:spacing w:val="6"/>
          <w:sz w:val="32"/>
          <w:szCs w:val="32"/>
          <w:highlight w:val="none"/>
        </w:rPr>
        <w:t>、残疾人福利性单位声明函</w:t>
      </w:r>
      <w:bookmarkEnd w:id="93"/>
      <w:r>
        <w:rPr>
          <w:rFonts w:hint="eastAsia" w:ascii="宋体" w:hAnsi="宋体"/>
          <w:b/>
          <w:bCs w:val="0"/>
          <w:color w:val="auto"/>
          <w:spacing w:val="6"/>
          <w:sz w:val="32"/>
          <w:szCs w:val="32"/>
          <w:highlight w:val="none"/>
        </w:rPr>
        <w:t>（若涉及）</w:t>
      </w:r>
    </w:p>
    <w:p w14:paraId="6588B2C3">
      <w:pPr>
        <w:keepNext w:val="0"/>
        <w:keepLines w:val="0"/>
        <w:pageBreakBefore w:val="0"/>
        <w:kinsoku/>
        <w:wordWrap/>
        <w:overflowPunct/>
        <w:topLinePunct w:val="0"/>
        <w:bidi w:val="0"/>
        <w:snapToGrid/>
        <w:spacing w:line="588" w:lineRule="exact"/>
        <w:textAlignment w:val="auto"/>
        <w:outlineLvl w:val="9"/>
        <w:rPr>
          <w:rFonts w:ascii="仿宋_GB2312" w:eastAsia="仿宋_GB2312"/>
          <w:b/>
          <w:color w:val="auto"/>
          <w:spacing w:val="6"/>
          <w:sz w:val="30"/>
          <w:szCs w:val="30"/>
          <w:highlight w:val="none"/>
        </w:rPr>
      </w:pPr>
    </w:p>
    <w:p w14:paraId="36528499">
      <w:pPr>
        <w:keepNext w:val="0"/>
        <w:keepLines w:val="0"/>
        <w:pageBreakBefore w:val="0"/>
        <w:kinsoku/>
        <w:wordWrap/>
        <w:overflowPunct/>
        <w:topLinePunct w:val="0"/>
        <w:bidi w:val="0"/>
        <w:snapToGrid/>
        <w:spacing w:line="360" w:lineRule="auto"/>
        <w:ind w:firstLine="472" w:firstLineChars="200"/>
        <w:textAlignment w:val="auto"/>
        <w:outlineLvl w:val="9"/>
        <w:rPr>
          <w:rFonts w:hint="eastAsia" w:ascii="宋体" w:hAnsi="宋体" w:cs="宋体"/>
          <w:color w:val="auto"/>
          <w:spacing w:val="-2"/>
          <w:sz w:val="24"/>
          <w:szCs w:val="32"/>
          <w:highlight w:val="none"/>
        </w:rPr>
      </w:pPr>
      <w:r>
        <w:rPr>
          <w:rFonts w:hint="eastAsia" w:ascii="宋体" w:hAnsi="宋体" w:cs="宋体"/>
          <w:color w:val="auto"/>
          <w:spacing w:val="-2"/>
          <w:sz w:val="24"/>
          <w:szCs w:val="32"/>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D173EE">
      <w:pPr>
        <w:keepNext w:val="0"/>
        <w:keepLines w:val="0"/>
        <w:pageBreakBefore w:val="0"/>
        <w:kinsoku/>
        <w:wordWrap/>
        <w:overflowPunct/>
        <w:topLinePunct w:val="0"/>
        <w:bidi w:val="0"/>
        <w:snapToGrid/>
        <w:spacing w:line="360" w:lineRule="auto"/>
        <w:ind w:firstLine="472" w:firstLineChars="200"/>
        <w:textAlignment w:val="auto"/>
        <w:outlineLvl w:val="9"/>
        <w:rPr>
          <w:rFonts w:hint="eastAsia" w:ascii="宋体" w:hAnsi="宋体" w:cs="宋体"/>
          <w:color w:val="auto"/>
          <w:spacing w:val="-2"/>
          <w:sz w:val="24"/>
          <w:szCs w:val="32"/>
          <w:highlight w:val="none"/>
        </w:rPr>
      </w:pPr>
      <w:r>
        <w:rPr>
          <w:rFonts w:hint="eastAsia" w:ascii="宋体" w:hAnsi="宋体" w:cs="宋体"/>
          <w:color w:val="auto"/>
          <w:spacing w:val="-2"/>
          <w:sz w:val="24"/>
          <w:szCs w:val="32"/>
          <w:highlight w:val="none"/>
        </w:rPr>
        <w:t>本单位对上述声明的真实性负责。如有虚假，将依法承担相应责任。</w:t>
      </w:r>
    </w:p>
    <w:p w14:paraId="7684DD79">
      <w:pPr>
        <w:keepNext w:val="0"/>
        <w:keepLines w:val="0"/>
        <w:pageBreakBefore w:val="0"/>
        <w:kinsoku/>
        <w:wordWrap/>
        <w:overflowPunct/>
        <w:topLinePunct w:val="0"/>
        <w:bidi w:val="0"/>
        <w:snapToGrid/>
        <w:spacing w:line="360" w:lineRule="auto"/>
        <w:ind w:firstLine="472" w:firstLineChars="200"/>
        <w:textAlignment w:val="auto"/>
        <w:outlineLvl w:val="9"/>
        <w:rPr>
          <w:rFonts w:hint="eastAsia" w:ascii="宋体" w:hAnsi="宋体" w:cs="宋体"/>
          <w:color w:val="auto"/>
          <w:spacing w:val="-2"/>
          <w:sz w:val="24"/>
          <w:szCs w:val="32"/>
          <w:highlight w:val="none"/>
        </w:rPr>
      </w:pPr>
    </w:p>
    <w:p w14:paraId="3A6E621C">
      <w:pPr>
        <w:keepNext w:val="0"/>
        <w:keepLines w:val="0"/>
        <w:pageBreakBefore w:val="0"/>
        <w:kinsoku/>
        <w:wordWrap/>
        <w:overflowPunct/>
        <w:topLinePunct w:val="0"/>
        <w:bidi w:val="0"/>
        <w:snapToGrid/>
        <w:spacing w:line="360" w:lineRule="auto"/>
        <w:ind w:firstLine="472" w:firstLineChars="200"/>
        <w:textAlignment w:val="auto"/>
        <w:outlineLvl w:val="9"/>
        <w:rPr>
          <w:rFonts w:hint="eastAsia" w:ascii="宋体" w:hAnsi="宋体" w:cs="宋体"/>
          <w:color w:val="auto"/>
          <w:spacing w:val="-2"/>
          <w:sz w:val="24"/>
          <w:szCs w:val="32"/>
          <w:highlight w:val="none"/>
        </w:rPr>
      </w:pPr>
    </w:p>
    <w:p w14:paraId="57E49787">
      <w:pPr>
        <w:keepNext w:val="0"/>
        <w:keepLines w:val="0"/>
        <w:pageBreakBefore w:val="0"/>
        <w:widowControl/>
        <w:kinsoku/>
        <w:wordWrap/>
        <w:overflowPunct/>
        <w:topLinePunct w:val="0"/>
        <w:bidi w:val="0"/>
        <w:snapToGrid/>
        <w:spacing w:line="360" w:lineRule="auto"/>
        <w:ind w:firstLine="472" w:firstLineChars="200"/>
        <w:jc w:val="left"/>
        <w:textAlignment w:val="auto"/>
        <w:outlineLvl w:val="9"/>
        <w:rPr>
          <w:rFonts w:hint="eastAsia" w:ascii="宋体" w:hAnsi="宋体" w:cs="宋体"/>
          <w:color w:val="auto"/>
          <w:spacing w:val="-2"/>
          <w:sz w:val="24"/>
          <w:szCs w:val="32"/>
          <w:highlight w:val="none"/>
        </w:rPr>
      </w:pPr>
    </w:p>
    <w:p w14:paraId="2A20B263">
      <w:pPr>
        <w:keepNext w:val="0"/>
        <w:keepLines w:val="0"/>
        <w:pageBreakBefore w:val="0"/>
        <w:widowControl/>
        <w:kinsoku/>
        <w:wordWrap/>
        <w:overflowPunct/>
        <w:topLinePunct w:val="0"/>
        <w:bidi w:val="0"/>
        <w:snapToGrid/>
        <w:spacing w:line="360" w:lineRule="auto"/>
        <w:ind w:firstLine="472" w:firstLineChars="200"/>
        <w:jc w:val="left"/>
        <w:textAlignment w:val="auto"/>
        <w:outlineLvl w:val="9"/>
        <w:rPr>
          <w:rFonts w:hint="eastAsia" w:ascii="宋体" w:hAnsi="宋体" w:cs="宋体"/>
          <w:color w:val="auto"/>
          <w:spacing w:val="-2"/>
          <w:sz w:val="24"/>
          <w:szCs w:val="32"/>
          <w:highlight w:val="none"/>
        </w:rPr>
      </w:pPr>
    </w:p>
    <w:p w14:paraId="4037DDB9">
      <w:pPr>
        <w:keepNext w:val="0"/>
        <w:keepLines w:val="0"/>
        <w:pageBreakBefore w:val="0"/>
        <w:widowControl/>
        <w:kinsoku/>
        <w:wordWrap/>
        <w:overflowPunct/>
        <w:topLinePunct w:val="0"/>
        <w:bidi w:val="0"/>
        <w:snapToGrid/>
        <w:spacing w:line="360" w:lineRule="auto"/>
        <w:ind w:firstLine="472" w:firstLineChars="200"/>
        <w:jc w:val="left"/>
        <w:textAlignment w:val="auto"/>
        <w:outlineLvl w:val="9"/>
        <w:rPr>
          <w:rFonts w:hint="eastAsia" w:ascii="宋体" w:hAnsi="宋体" w:cs="宋体"/>
          <w:color w:val="auto"/>
          <w:spacing w:val="-2"/>
          <w:sz w:val="24"/>
          <w:szCs w:val="32"/>
          <w:highlight w:val="none"/>
        </w:rPr>
      </w:pPr>
    </w:p>
    <w:p w14:paraId="51300DA7">
      <w:pPr>
        <w:keepNext w:val="0"/>
        <w:keepLines w:val="0"/>
        <w:pageBreakBefore w:val="0"/>
        <w:widowControl/>
        <w:kinsoku/>
        <w:wordWrap/>
        <w:overflowPunct/>
        <w:topLinePunct w:val="0"/>
        <w:bidi w:val="0"/>
        <w:snapToGrid/>
        <w:spacing w:line="360" w:lineRule="auto"/>
        <w:ind w:firstLine="472" w:firstLineChars="200"/>
        <w:jc w:val="left"/>
        <w:textAlignment w:val="auto"/>
        <w:outlineLvl w:val="9"/>
        <w:rPr>
          <w:rFonts w:hint="eastAsia" w:ascii="宋体" w:hAnsi="宋体" w:cs="宋体"/>
          <w:color w:val="auto"/>
          <w:spacing w:val="-2"/>
          <w:sz w:val="24"/>
          <w:szCs w:val="32"/>
          <w:highlight w:val="none"/>
        </w:rPr>
      </w:pPr>
    </w:p>
    <w:p w14:paraId="7BBACF86">
      <w:pPr>
        <w:keepNext w:val="0"/>
        <w:keepLines w:val="0"/>
        <w:pageBreakBefore w:val="0"/>
        <w:kinsoku/>
        <w:wordWrap/>
        <w:overflowPunct/>
        <w:topLinePunct w:val="0"/>
        <w:bidi w:val="0"/>
        <w:snapToGrid/>
        <w:spacing w:line="360" w:lineRule="auto"/>
        <w:ind w:firstLine="472" w:firstLineChars="200"/>
        <w:jc w:val="left"/>
        <w:textAlignment w:val="auto"/>
        <w:outlineLvl w:val="9"/>
        <w:rPr>
          <w:rFonts w:hint="eastAsia" w:ascii="宋体" w:hAnsi="宋体" w:cs="宋体"/>
          <w:color w:val="auto"/>
          <w:spacing w:val="-2"/>
          <w:sz w:val="24"/>
          <w:szCs w:val="32"/>
          <w:highlight w:val="none"/>
        </w:rPr>
      </w:pPr>
      <w:r>
        <w:rPr>
          <w:rFonts w:hint="eastAsia" w:ascii="宋体" w:hAnsi="宋体" w:cs="宋体"/>
          <w:color w:val="auto"/>
          <w:spacing w:val="-2"/>
          <w:sz w:val="24"/>
          <w:szCs w:val="32"/>
          <w:highlight w:val="none"/>
        </w:rPr>
        <w:t>单位名称：XXXX（盖单位公章）</w:t>
      </w:r>
    </w:p>
    <w:p w14:paraId="17E22FFD">
      <w:pPr>
        <w:keepNext w:val="0"/>
        <w:keepLines w:val="0"/>
        <w:pageBreakBefore w:val="0"/>
        <w:kinsoku/>
        <w:wordWrap/>
        <w:overflowPunct/>
        <w:topLinePunct w:val="0"/>
        <w:bidi w:val="0"/>
        <w:snapToGrid/>
        <w:spacing w:line="360" w:lineRule="auto"/>
        <w:ind w:firstLine="472" w:firstLineChars="200"/>
        <w:jc w:val="left"/>
        <w:textAlignment w:val="auto"/>
        <w:outlineLvl w:val="9"/>
        <w:rPr>
          <w:rFonts w:hint="eastAsia" w:ascii="宋体" w:hAnsi="宋体" w:cs="宋体"/>
          <w:color w:val="auto"/>
          <w:spacing w:val="-2"/>
          <w:sz w:val="24"/>
          <w:szCs w:val="32"/>
          <w:highlight w:val="none"/>
        </w:rPr>
      </w:pPr>
      <w:r>
        <w:rPr>
          <w:rFonts w:hint="eastAsia" w:ascii="宋体" w:hAnsi="宋体" w:cs="宋体"/>
          <w:color w:val="auto"/>
          <w:spacing w:val="-2"/>
          <w:sz w:val="24"/>
          <w:szCs w:val="32"/>
          <w:highlight w:val="none"/>
        </w:rPr>
        <w:t>法定代表人或授权代表（签字）：XXXX</w:t>
      </w:r>
    </w:p>
    <w:p w14:paraId="3D8557F3">
      <w:pPr>
        <w:keepNext w:val="0"/>
        <w:keepLines w:val="0"/>
        <w:pageBreakBefore w:val="0"/>
        <w:kinsoku/>
        <w:wordWrap/>
        <w:overflowPunct/>
        <w:topLinePunct w:val="0"/>
        <w:bidi w:val="0"/>
        <w:snapToGrid/>
        <w:spacing w:line="360" w:lineRule="auto"/>
        <w:ind w:firstLine="472" w:firstLineChars="200"/>
        <w:jc w:val="left"/>
        <w:textAlignment w:val="auto"/>
        <w:outlineLvl w:val="9"/>
        <w:rPr>
          <w:rFonts w:hint="eastAsia" w:ascii="宋体" w:hAnsi="宋体" w:cs="宋体"/>
          <w:color w:val="auto"/>
          <w:spacing w:val="-2"/>
          <w:sz w:val="24"/>
          <w:szCs w:val="32"/>
          <w:highlight w:val="none"/>
        </w:rPr>
      </w:pPr>
      <w:r>
        <w:rPr>
          <w:rFonts w:hint="eastAsia" w:ascii="宋体" w:hAnsi="宋体" w:cs="宋体"/>
          <w:color w:val="auto"/>
          <w:spacing w:val="-2"/>
          <w:sz w:val="24"/>
          <w:szCs w:val="32"/>
          <w:highlight w:val="none"/>
        </w:rPr>
        <w:t>日期：XXXX</w:t>
      </w:r>
    </w:p>
    <w:p w14:paraId="5F04CF93">
      <w:pPr>
        <w:keepNext w:val="0"/>
        <w:keepLines w:val="0"/>
        <w:pageBreakBefore w:val="0"/>
        <w:kinsoku/>
        <w:wordWrap/>
        <w:overflowPunct/>
        <w:topLinePunct w:val="0"/>
        <w:bidi w:val="0"/>
        <w:adjustRightInd w:val="0"/>
        <w:snapToGrid/>
        <w:spacing w:line="360" w:lineRule="auto"/>
        <w:ind w:left="420" w:leftChars="200" w:firstLine="360" w:firstLineChars="150"/>
        <w:jc w:val="left"/>
        <w:textAlignment w:val="auto"/>
        <w:outlineLvl w:val="9"/>
        <w:rPr>
          <w:rFonts w:hint="eastAsia" w:ascii="宋体" w:hAnsi="宋体" w:cs="宋体"/>
          <w:color w:val="auto"/>
          <w:sz w:val="24"/>
          <w:highlight w:val="none"/>
        </w:rPr>
      </w:pPr>
    </w:p>
    <w:p w14:paraId="3DCD7E7D">
      <w:pPr>
        <w:spacing w:line="576" w:lineRule="exact"/>
        <w:ind w:firstLine="480" w:firstLineChars="200"/>
        <w:rPr>
          <w:rFonts w:hint="eastAsia" w:ascii="宋体" w:hAnsi="宋体"/>
          <w:color w:val="auto"/>
          <w:sz w:val="24"/>
          <w:highlight w:val="none"/>
        </w:rPr>
      </w:pPr>
    </w:p>
    <w:p w14:paraId="394C3FD3">
      <w:pPr>
        <w:spacing w:line="360" w:lineRule="auto"/>
        <w:jc w:val="left"/>
        <w:rPr>
          <w:rFonts w:hint="eastAsia" w:ascii="宋体" w:hAnsi="宋体" w:eastAsia="宋体" w:cs="宋体"/>
          <w:color w:val="auto"/>
          <w:spacing w:val="-2"/>
          <w:sz w:val="24"/>
          <w:szCs w:val="32"/>
          <w:highlight w:val="none"/>
        </w:rPr>
      </w:pPr>
    </w:p>
    <w:p w14:paraId="7FA6766E">
      <w:pPr>
        <w:jc w:val="center"/>
        <w:rPr>
          <w:rFonts w:hint="eastAsia" w:ascii="宋体" w:hAnsi="宋体"/>
          <w:b/>
          <w:bCs/>
          <w:color w:val="auto"/>
          <w:sz w:val="32"/>
          <w:szCs w:val="32"/>
          <w:highlight w:val="none"/>
        </w:rPr>
      </w:pPr>
      <w:r>
        <w:rPr>
          <w:rFonts w:hint="eastAsia" w:ascii="宋体" w:hAnsi="宋体"/>
          <w:b/>
          <w:bCs/>
          <w:color w:val="auto"/>
          <w:sz w:val="32"/>
          <w:szCs w:val="32"/>
          <w:highlight w:val="none"/>
          <w:lang w:eastAsia="zh-CN"/>
        </w:rPr>
        <w:br w:type="page"/>
      </w:r>
      <w:r>
        <w:rPr>
          <w:rFonts w:hint="eastAsia" w:ascii="宋体" w:hAnsi="宋体"/>
          <w:b/>
          <w:bCs/>
          <w:color w:val="auto"/>
          <w:sz w:val="32"/>
          <w:szCs w:val="32"/>
          <w:highlight w:val="none"/>
          <w:lang w:eastAsia="zh-CN"/>
        </w:rPr>
        <w:t>十</w:t>
      </w:r>
      <w:r>
        <w:rPr>
          <w:rFonts w:hint="eastAsia" w:ascii="宋体" w:hAnsi="宋体"/>
          <w:b/>
          <w:bCs/>
          <w:color w:val="auto"/>
          <w:sz w:val="32"/>
          <w:szCs w:val="32"/>
          <w:highlight w:val="none"/>
        </w:rPr>
        <w:t>、技术、服务要求应答表</w:t>
      </w:r>
    </w:p>
    <w:p w14:paraId="0FD7B118">
      <w:pPr>
        <w:pStyle w:val="21"/>
        <w:pBdr>
          <w:bottom w:val="none" w:color="auto" w:sz="0" w:space="0"/>
        </w:pBdr>
        <w:tabs>
          <w:tab w:val="clear" w:pos="4153"/>
          <w:tab w:val="clear" w:pos="8306"/>
        </w:tabs>
        <w:snapToGrid/>
        <w:jc w:val="both"/>
        <w:rPr>
          <w:rFonts w:hint="eastAsia" w:ascii="宋体" w:hAnsi="宋体"/>
          <w:color w:val="auto"/>
          <w:sz w:val="24"/>
          <w:szCs w:val="24"/>
          <w:highlight w:val="none"/>
        </w:rPr>
      </w:pPr>
    </w:p>
    <w:tbl>
      <w:tblPr>
        <w:tblStyle w:val="32"/>
        <w:tblW w:w="8302" w:type="dxa"/>
        <w:tblInd w:w="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3488"/>
        <w:gridCol w:w="3567"/>
      </w:tblGrid>
      <w:tr w14:paraId="7B75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47" w:type="dxa"/>
            <w:noWrap w:val="0"/>
            <w:vAlign w:val="center"/>
          </w:tcPr>
          <w:p w14:paraId="0F61DFE5">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r>
              <w:rPr>
                <w:rFonts w:hint="eastAsia" w:ascii="宋体" w:hAnsi="宋体" w:cs="Times New Roman"/>
                <w:color w:val="auto"/>
                <w:sz w:val="24"/>
                <w:highlight w:val="none"/>
              </w:rPr>
              <w:t>序号</w:t>
            </w:r>
          </w:p>
        </w:tc>
        <w:tc>
          <w:tcPr>
            <w:tcW w:w="3488" w:type="dxa"/>
            <w:noWrap w:val="0"/>
            <w:vAlign w:val="center"/>
          </w:tcPr>
          <w:p w14:paraId="16A81E0D">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r>
              <w:rPr>
                <w:rFonts w:hint="eastAsia" w:ascii="宋体" w:hAnsi="宋体" w:cs="Times New Roman"/>
                <w:color w:val="auto"/>
                <w:sz w:val="24"/>
                <w:highlight w:val="none"/>
              </w:rPr>
              <w:t>采购文件要求</w:t>
            </w:r>
          </w:p>
        </w:tc>
        <w:tc>
          <w:tcPr>
            <w:tcW w:w="3567" w:type="dxa"/>
            <w:noWrap w:val="0"/>
            <w:vAlign w:val="center"/>
          </w:tcPr>
          <w:p w14:paraId="6B06A61E">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r>
              <w:rPr>
                <w:rFonts w:hint="eastAsia" w:ascii="宋体" w:hAnsi="宋体" w:cs="Times New Roman"/>
                <w:color w:val="auto"/>
                <w:sz w:val="24"/>
                <w:highlight w:val="none"/>
              </w:rPr>
              <w:t>响应文件响应</w:t>
            </w:r>
          </w:p>
        </w:tc>
      </w:tr>
      <w:tr w14:paraId="49E9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247" w:type="dxa"/>
            <w:noWrap w:val="0"/>
            <w:vAlign w:val="top"/>
          </w:tcPr>
          <w:p w14:paraId="28DA63DE">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c>
          <w:tcPr>
            <w:tcW w:w="3488" w:type="dxa"/>
            <w:noWrap w:val="0"/>
            <w:vAlign w:val="top"/>
          </w:tcPr>
          <w:p w14:paraId="2D785621">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c>
          <w:tcPr>
            <w:tcW w:w="3567" w:type="dxa"/>
            <w:noWrap w:val="0"/>
            <w:vAlign w:val="top"/>
          </w:tcPr>
          <w:p w14:paraId="3595D876">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r>
      <w:tr w14:paraId="6E09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247" w:type="dxa"/>
            <w:noWrap w:val="0"/>
            <w:vAlign w:val="top"/>
          </w:tcPr>
          <w:p w14:paraId="73F1E676">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c>
          <w:tcPr>
            <w:tcW w:w="3488" w:type="dxa"/>
            <w:noWrap w:val="0"/>
            <w:vAlign w:val="top"/>
          </w:tcPr>
          <w:p w14:paraId="2D6ECC3E">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c>
          <w:tcPr>
            <w:tcW w:w="3567" w:type="dxa"/>
            <w:noWrap w:val="0"/>
            <w:vAlign w:val="top"/>
          </w:tcPr>
          <w:p w14:paraId="49FB7ECE">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r>
      <w:tr w14:paraId="438B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247" w:type="dxa"/>
            <w:noWrap w:val="0"/>
            <w:vAlign w:val="top"/>
          </w:tcPr>
          <w:p w14:paraId="0F36491E">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c>
          <w:tcPr>
            <w:tcW w:w="3488" w:type="dxa"/>
            <w:noWrap w:val="0"/>
            <w:vAlign w:val="top"/>
          </w:tcPr>
          <w:p w14:paraId="7C8E6502">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c>
          <w:tcPr>
            <w:tcW w:w="3567" w:type="dxa"/>
            <w:noWrap w:val="0"/>
            <w:vAlign w:val="top"/>
          </w:tcPr>
          <w:p w14:paraId="7ABB5094">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r>
      <w:tr w14:paraId="2D08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247" w:type="dxa"/>
            <w:noWrap w:val="0"/>
            <w:vAlign w:val="top"/>
          </w:tcPr>
          <w:p w14:paraId="0390272A">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c>
          <w:tcPr>
            <w:tcW w:w="3488" w:type="dxa"/>
            <w:noWrap w:val="0"/>
            <w:vAlign w:val="top"/>
          </w:tcPr>
          <w:p w14:paraId="616F044C">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c>
          <w:tcPr>
            <w:tcW w:w="3567" w:type="dxa"/>
            <w:noWrap w:val="0"/>
            <w:vAlign w:val="top"/>
          </w:tcPr>
          <w:p w14:paraId="461F7260">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r>
    </w:tbl>
    <w:p w14:paraId="03EE3DD4">
      <w:pPr>
        <w:ind w:firstLine="482" w:firstLineChars="200"/>
        <w:rPr>
          <w:rFonts w:hint="eastAsia" w:ascii="宋体" w:hAnsi="宋体"/>
          <w:b/>
          <w:color w:val="auto"/>
          <w:sz w:val="24"/>
          <w:highlight w:val="none"/>
        </w:rPr>
      </w:pPr>
    </w:p>
    <w:p w14:paraId="31B99AEC">
      <w:pPr>
        <w:widowControl/>
        <w:spacing w:line="360" w:lineRule="auto"/>
        <w:ind w:firstLine="480" w:firstLineChars="200"/>
        <w:rPr>
          <w:rFonts w:hint="eastAsia" w:ascii="宋体" w:hAnsi="宋体" w:cs="宋体"/>
          <w:color w:val="auto"/>
          <w:sz w:val="24"/>
          <w:highlight w:val="none"/>
        </w:rPr>
      </w:pPr>
      <w:bookmarkStart w:id="94" w:name="_Toc20036"/>
      <w:r>
        <w:rPr>
          <w:rFonts w:hint="eastAsia" w:ascii="宋体" w:hAnsi="宋体" w:cs="宋体"/>
          <w:color w:val="auto"/>
          <w:sz w:val="24"/>
          <w:highlight w:val="none"/>
        </w:rPr>
        <w:t>注：1.供应商至少填写响应文件中与采购文件有偏离（包括正偏离和负偏离）的内容，响应文件中项目技术、服务、及商务要求与采购文件（第五章 采购项目技术、服务、政府采购履约主要条款及其他商务要求）要求完全一致的，可以不用在此表中列出，但要在此表中明确其完全响应。</w:t>
      </w:r>
      <w:bookmarkEnd w:id="94"/>
    </w:p>
    <w:p w14:paraId="1BC8A90C">
      <w:pPr>
        <w:widowControl/>
        <w:spacing w:line="360" w:lineRule="auto"/>
        <w:ind w:firstLine="480" w:firstLineChars="200"/>
        <w:rPr>
          <w:rFonts w:hint="eastAsia" w:ascii="宋体" w:hAnsi="宋体" w:cs="宋体"/>
          <w:color w:val="auto"/>
          <w:sz w:val="24"/>
          <w:highlight w:val="none"/>
        </w:rPr>
      </w:pPr>
      <w:bookmarkStart w:id="95" w:name="_Toc10356"/>
      <w:r>
        <w:rPr>
          <w:rFonts w:hint="eastAsia" w:ascii="宋体" w:hAnsi="宋体" w:cs="宋体"/>
          <w:color w:val="auto"/>
          <w:sz w:val="24"/>
          <w:highlight w:val="none"/>
        </w:rPr>
        <w:t>2．供应商必须据实填写，不得虚假响应，其响应文件无效并按规定追究其相关责任。</w:t>
      </w:r>
      <w:bookmarkEnd w:id="95"/>
    </w:p>
    <w:p w14:paraId="03329A6E">
      <w:pPr>
        <w:adjustRightInd w:val="0"/>
        <w:spacing w:line="400" w:lineRule="exact"/>
        <w:ind w:firstLine="480" w:firstLineChars="200"/>
        <w:jc w:val="left"/>
        <w:rPr>
          <w:rFonts w:hint="eastAsia" w:ascii="宋体" w:hAnsi="宋体"/>
          <w:color w:val="auto"/>
          <w:sz w:val="24"/>
          <w:highlight w:val="none"/>
        </w:rPr>
      </w:pPr>
    </w:p>
    <w:p w14:paraId="632D91C0">
      <w:pPr>
        <w:adjustRightInd w:val="0"/>
        <w:spacing w:line="40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5D08F0F0">
      <w:pPr>
        <w:adjustRightInd w:val="0"/>
        <w:spacing w:line="400" w:lineRule="exact"/>
        <w:ind w:firstLine="480" w:firstLineChars="200"/>
        <w:jc w:val="left"/>
        <w:rPr>
          <w:rFonts w:hint="eastAsia"/>
          <w:bCs/>
          <w:color w:val="auto"/>
          <w:sz w:val="24"/>
          <w:highlight w:val="none"/>
        </w:rPr>
      </w:pPr>
      <w:r>
        <w:rPr>
          <w:rFonts w:hint="eastAsia"/>
          <w:bCs/>
          <w:color w:val="auto"/>
          <w:sz w:val="24"/>
          <w:highlight w:val="none"/>
        </w:rPr>
        <w:t>法定代表人或授权代表（签字或盖章）：XXX</w:t>
      </w:r>
    </w:p>
    <w:p w14:paraId="44893290">
      <w:pPr>
        <w:adjustRightInd w:val="0"/>
        <w:spacing w:line="400" w:lineRule="exact"/>
        <w:ind w:firstLine="540" w:firstLineChars="225"/>
        <w:jc w:val="left"/>
        <w:rPr>
          <w:rFonts w:hint="eastAsia"/>
          <w:bCs/>
          <w:color w:val="auto"/>
          <w:sz w:val="24"/>
          <w:highlight w:val="none"/>
        </w:rPr>
      </w:pPr>
      <w:r>
        <w:rPr>
          <w:rFonts w:hint="eastAsia"/>
          <w:bCs/>
          <w:color w:val="auto"/>
          <w:sz w:val="24"/>
          <w:highlight w:val="none"/>
        </w:rPr>
        <w:t>日  期</w:t>
      </w:r>
      <w:r>
        <w:rPr>
          <w:rFonts w:hint="eastAsia" w:ascii="宋体" w:hAnsi="宋体"/>
          <w:color w:val="auto"/>
          <w:sz w:val="24"/>
          <w:highlight w:val="none"/>
        </w:rPr>
        <w:t>：</w:t>
      </w:r>
      <w:r>
        <w:rPr>
          <w:rFonts w:hint="eastAsia"/>
          <w:bCs/>
          <w:color w:val="auto"/>
          <w:sz w:val="24"/>
          <w:highlight w:val="none"/>
        </w:rPr>
        <w:t>XXX年XXX月XXX日</w:t>
      </w:r>
    </w:p>
    <w:p w14:paraId="7B85CE4C">
      <w:pPr>
        <w:spacing w:line="400" w:lineRule="exact"/>
        <w:rPr>
          <w:rFonts w:hint="eastAsia" w:ascii="宋体" w:hAnsi="宋体"/>
          <w:color w:val="auto"/>
          <w:highlight w:val="none"/>
        </w:rPr>
      </w:pPr>
    </w:p>
    <w:p w14:paraId="49589811">
      <w:pPr>
        <w:spacing w:line="400" w:lineRule="exact"/>
        <w:rPr>
          <w:rFonts w:hint="eastAsia" w:ascii="宋体" w:hAnsi="宋体"/>
          <w:color w:val="auto"/>
          <w:sz w:val="24"/>
          <w:highlight w:val="none"/>
        </w:rPr>
      </w:pPr>
    </w:p>
    <w:p w14:paraId="151F5B48">
      <w:pPr>
        <w:pStyle w:val="18"/>
        <w:tabs>
          <w:tab w:val="left" w:pos="0"/>
        </w:tabs>
        <w:jc w:val="center"/>
        <w:rPr>
          <w:rFonts w:hint="eastAsia"/>
          <w:b/>
          <w:color w:val="auto"/>
          <w:sz w:val="32"/>
          <w:szCs w:val="32"/>
          <w:highlight w:val="none"/>
        </w:rPr>
      </w:pPr>
      <w:bookmarkStart w:id="96" w:name="_Toc9358"/>
      <w:r>
        <w:rPr>
          <w:rFonts w:hint="eastAsia" w:ascii="宋体" w:hAnsi="宋体" w:cs="宋体"/>
          <w:color w:val="auto"/>
          <w:highlight w:val="none"/>
        </w:rPr>
        <w:br w:type="page"/>
      </w:r>
      <w:bookmarkEnd w:id="96"/>
      <w:r>
        <w:rPr>
          <w:rFonts w:hint="eastAsia"/>
          <w:b/>
          <w:color w:val="auto"/>
          <w:sz w:val="32"/>
          <w:szCs w:val="32"/>
          <w:highlight w:val="none"/>
          <w:lang w:eastAsia="zh-CN"/>
        </w:rPr>
        <w:t>十一</w:t>
      </w:r>
      <w:r>
        <w:rPr>
          <w:rFonts w:hint="eastAsia"/>
          <w:b/>
          <w:color w:val="auto"/>
          <w:sz w:val="32"/>
          <w:szCs w:val="32"/>
          <w:highlight w:val="none"/>
        </w:rPr>
        <w:t>、商务应答表</w:t>
      </w:r>
    </w:p>
    <w:p w14:paraId="39EEDA34">
      <w:pPr>
        <w:pStyle w:val="21"/>
        <w:pBdr>
          <w:bottom w:val="none" w:color="auto" w:sz="0" w:space="0"/>
        </w:pBdr>
        <w:tabs>
          <w:tab w:val="clear" w:pos="4153"/>
          <w:tab w:val="clear" w:pos="8306"/>
        </w:tabs>
        <w:snapToGrid/>
        <w:jc w:val="both"/>
        <w:rPr>
          <w:rFonts w:hint="eastAsia" w:ascii="宋体" w:hAnsi="宋体"/>
          <w:color w:val="auto"/>
          <w:sz w:val="24"/>
          <w:szCs w:val="24"/>
          <w:highlight w:val="none"/>
        </w:rPr>
      </w:pPr>
    </w:p>
    <w:tbl>
      <w:tblPr>
        <w:tblStyle w:val="32"/>
        <w:tblW w:w="8296" w:type="dxa"/>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3192"/>
        <w:gridCol w:w="3381"/>
      </w:tblGrid>
      <w:tr w14:paraId="2F7F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723" w:type="dxa"/>
            <w:noWrap w:val="0"/>
            <w:vAlign w:val="center"/>
          </w:tcPr>
          <w:p w14:paraId="18718AF8">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r>
              <w:rPr>
                <w:rFonts w:hint="eastAsia" w:ascii="宋体" w:hAnsi="宋体" w:cs="Times New Roman"/>
                <w:color w:val="auto"/>
                <w:sz w:val="24"/>
                <w:highlight w:val="none"/>
              </w:rPr>
              <w:t>序号</w:t>
            </w:r>
          </w:p>
        </w:tc>
        <w:tc>
          <w:tcPr>
            <w:tcW w:w="3192" w:type="dxa"/>
            <w:noWrap w:val="0"/>
            <w:vAlign w:val="center"/>
          </w:tcPr>
          <w:p w14:paraId="286E34B0">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r>
              <w:rPr>
                <w:rFonts w:hint="eastAsia" w:ascii="宋体" w:hAnsi="宋体" w:cs="Times New Roman"/>
                <w:color w:val="auto"/>
                <w:sz w:val="24"/>
                <w:highlight w:val="none"/>
              </w:rPr>
              <w:t>采购文件要求</w:t>
            </w:r>
          </w:p>
        </w:tc>
        <w:tc>
          <w:tcPr>
            <w:tcW w:w="3381" w:type="dxa"/>
            <w:noWrap w:val="0"/>
            <w:vAlign w:val="center"/>
          </w:tcPr>
          <w:p w14:paraId="2B5CA41E">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r>
              <w:rPr>
                <w:rFonts w:hint="eastAsia" w:ascii="宋体" w:hAnsi="宋体" w:cs="Times New Roman"/>
                <w:color w:val="auto"/>
                <w:sz w:val="24"/>
                <w:highlight w:val="none"/>
              </w:rPr>
              <w:t>响应文件响应</w:t>
            </w:r>
          </w:p>
        </w:tc>
      </w:tr>
      <w:tr w14:paraId="55A5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723" w:type="dxa"/>
            <w:noWrap w:val="0"/>
            <w:vAlign w:val="top"/>
          </w:tcPr>
          <w:p w14:paraId="25BECAB6">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c>
          <w:tcPr>
            <w:tcW w:w="3192" w:type="dxa"/>
            <w:noWrap w:val="0"/>
            <w:vAlign w:val="top"/>
          </w:tcPr>
          <w:p w14:paraId="3AC90835">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c>
          <w:tcPr>
            <w:tcW w:w="3381" w:type="dxa"/>
            <w:noWrap w:val="0"/>
            <w:vAlign w:val="top"/>
          </w:tcPr>
          <w:p w14:paraId="3D49FE04">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r>
      <w:tr w14:paraId="0A85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723" w:type="dxa"/>
            <w:noWrap w:val="0"/>
            <w:vAlign w:val="top"/>
          </w:tcPr>
          <w:p w14:paraId="6CA31339">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c>
          <w:tcPr>
            <w:tcW w:w="3192" w:type="dxa"/>
            <w:noWrap w:val="0"/>
            <w:vAlign w:val="top"/>
          </w:tcPr>
          <w:p w14:paraId="3DA729E5">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c>
          <w:tcPr>
            <w:tcW w:w="3381" w:type="dxa"/>
            <w:noWrap w:val="0"/>
            <w:vAlign w:val="top"/>
          </w:tcPr>
          <w:p w14:paraId="3B94B6DF">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r>
      <w:tr w14:paraId="0DEA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723" w:type="dxa"/>
            <w:noWrap w:val="0"/>
            <w:vAlign w:val="top"/>
          </w:tcPr>
          <w:p w14:paraId="2EA9BB97">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c>
          <w:tcPr>
            <w:tcW w:w="3192" w:type="dxa"/>
            <w:noWrap w:val="0"/>
            <w:vAlign w:val="top"/>
          </w:tcPr>
          <w:p w14:paraId="30DA763E">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c>
          <w:tcPr>
            <w:tcW w:w="3381" w:type="dxa"/>
            <w:noWrap w:val="0"/>
            <w:vAlign w:val="top"/>
          </w:tcPr>
          <w:p w14:paraId="5743EFD0">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r>
      <w:tr w14:paraId="123C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723" w:type="dxa"/>
            <w:noWrap w:val="0"/>
            <w:vAlign w:val="top"/>
          </w:tcPr>
          <w:p w14:paraId="4A5FF18D">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c>
          <w:tcPr>
            <w:tcW w:w="3192" w:type="dxa"/>
            <w:noWrap w:val="0"/>
            <w:vAlign w:val="top"/>
          </w:tcPr>
          <w:p w14:paraId="41AD4080">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c>
          <w:tcPr>
            <w:tcW w:w="3381" w:type="dxa"/>
            <w:noWrap w:val="0"/>
            <w:vAlign w:val="top"/>
          </w:tcPr>
          <w:p w14:paraId="1EB537B4">
            <w:pPr>
              <w:keepNext w:val="0"/>
              <w:keepLines w:val="0"/>
              <w:suppressLineNumbers w:val="0"/>
              <w:spacing w:before="0" w:beforeAutospacing="0" w:after="0" w:afterAutospacing="0"/>
              <w:ind w:left="0" w:right="0"/>
              <w:jc w:val="center"/>
              <w:rPr>
                <w:rFonts w:hint="eastAsia" w:ascii="宋体" w:hAnsi="宋体" w:cs="Times New Roman"/>
                <w:color w:val="auto"/>
                <w:sz w:val="24"/>
                <w:highlight w:val="none"/>
              </w:rPr>
            </w:pPr>
          </w:p>
        </w:tc>
      </w:tr>
    </w:tbl>
    <w:p w14:paraId="057CA07D">
      <w:pPr>
        <w:ind w:firstLine="482" w:firstLineChars="200"/>
        <w:rPr>
          <w:rFonts w:hint="eastAsia" w:ascii="宋体" w:hAnsi="宋体"/>
          <w:b/>
          <w:color w:val="auto"/>
          <w:sz w:val="24"/>
          <w:highlight w:val="none"/>
        </w:rPr>
      </w:pPr>
    </w:p>
    <w:p w14:paraId="0E06D296">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注：1.供应商至少填写响应文件中与采购文件有偏离（包括正偏离和负偏离）的内容，响应文件中项目技术、服务、及商务要求与采购文件（第五章 采购项目技术、服务、政府采购履约主要条款及其他商务要求）要求完全一致的，可以不用在此表中列出，但要在此表中明确其完全响应。</w:t>
      </w:r>
    </w:p>
    <w:p w14:paraId="0DF3E3CF">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2．供应商必须据实填写，不得虚假响应，其响应文件无效并按规定追究其相关责任。</w:t>
      </w:r>
    </w:p>
    <w:p w14:paraId="07767850">
      <w:pPr>
        <w:adjustRightInd w:val="0"/>
        <w:spacing w:line="400" w:lineRule="exact"/>
        <w:ind w:firstLine="480" w:firstLineChars="200"/>
        <w:jc w:val="left"/>
        <w:rPr>
          <w:rFonts w:hint="eastAsia" w:ascii="宋体" w:hAnsi="宋体"/>
          <w:color w:val="auto"/>
          <w:sz w:val="24"/>
          <w:highlight w:val="none"/>
        </w:rPr>
      </w:pPr>
    </w:p>
    <w:p w14:paraId="017749DA">
      <w:pPr>
        <w:adjustRightInd w:val="0"/>
        <w:spacing w:line="40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供应商人名称：XXX（盖单位公章）</w:t>
      </w:r>
    </w:p>
    <w:p w14:paraId="51259FC0">
      <w:pPr>
        <w:adjustRightInd w:val="0"/>
        <w:spacing w:line="400" w:lineRule="exact"/>
        <w:ind w:firstLine="540" w:firstLineChars="225"/>
        <w:jc w:val="left"/>
        <w:rPr>
          <w:rFonts w:hint="eastAsia"/>
          <w:bCs/>
          <w:color w:val="auto"/>
          <w:sz w:val="24"/>
          <w:highlight w:val="none"/>
        </w:rPr>
      </w:pPr>
      <w:r>
        <w:rPr>
          <w:rFonts w:hint="eastAsia"/>
          <w:bCs/>
          <w:color w:val="auto"/>
          <w:sz w:val="24"/>
          <w:highlight w:val="none"/>
        </w:rPr>
        <w:t>法定代表人或授权代表（签字或盖章）：XXX</w:t>
      </w:r>
    </w:p>
    <w:p w14:paraId="514D989D">
      <w:pPr>
        <w:adjustRightInd w:val="0"/>
        <w:spacing w:line="400" w:lineRule="exact"/>
        <w:ind w:firstLine="540" w:firstLineChars="225"/>
        <w:jc w:val="left"/>
        <w:rPr>
          <w:rFonts w:hint="eastAsia"/>
          <w:bCs/>
          <w:color w:val="auto"/>
          <w:sz w:val="24"/>
          <w:highlight w:val="none"/>
        </w:rPr>
      </w:pPr>
      <w:r>
        <w:rPr>
          <w:rFonts w:hint="eastAsia"/>
          <w:bCs/>
          <w:color w:val="auto"/>
          <w:sz w:val="24"/>
          <w:highlight w:val="none"/>
        </w:rPr>
        <w:t>日  期：XXX年XXX月XXX日</w:t>
      </w:r>
    </w:p>
    <w:p w14:paraId="4D3AAC00">
      <w:pPr>
        <w:spacing w:line="360" w:lineRule="auto"/>
        <w:rPr>
          <w:rFonts w:hint="eastAsia" w:ascii="宋体" w:hAnsi="宋体" w:cs="宋体"/>
          <w:b/>
          <w:bCs/>
          <w:color w:val="auto"/>
          <w:spacing w:val="6"/>
          <w:szCs w:val="21"/>
          <w:highlight w:val="none"/>
        </w:rPr>
      </w:pPr>
    </w:p>
    <w:p w14:paraId="68EC2D9F">
      <w:pPr>
        <w:jc w:val="left"/>
        <w:rPr>
          <w:rFonts w:hint="eastAsia" w:ascii="宋体" w:hAnsi="宋体"/>
          <w:color w:val="auto"/>
          <w:sz w:val="24"/>
          <w:highlight w:val="none"/>
        </w:rPr>
      </w:pPr>
    </w:p>
    <w:p w14:paraId="42E79746">
      <w:pPr>
        <w:spacing w:line="360" w:lineRule="auto"/>
        <w:jc w:val="center"/>
        <w:rPr>
          <w:rFonts w:hint="eastAsia"/>
          <w:b/>
          <w:color w:val="auto"/>
          <w:sz w:val="32"/>
          <w:szCs w:val="32"/>
          <w:highlight w:val="none"/>
        </w:rPr>
      </w:pPr>
      <w:r>
        <w:rPr>
          <w:rFonts w:hint="eastAsia" w:ascii="宋体" w:hAnsi="宋体" w:cs="宋体"/>
          <w:b/>
          <w:color w:val="auto"/>
          <w:spacing w:val="6"/>
          <w:sz w:val="24"/>
          <w:highlight w:val="none"/>
        </w:rPr>
        <w:br w:type="page"/>
      </w:r>
      <w:r>
        <w:rPr>
          <w:rFonts w:hint="eastAsia"/>
          <w:b/>
          <w:color w:val="auto"/>
          <w:sz w:val="32"/>
          <w:szCs w:val="32"/>
          <w:highlight w:val="none"/>
        </w:rPr>
        <w:t>十</w:t>
      </w:r>
      <w:r>
        <w:rPr>
          <w:rFonts w:hint="eastAsia"/>
          <w:b/>
          <w:color w:val="auto"/>
          <w:sz w:val="32"/>
          <w:szCs w:val="32"/>
          <w:highlight w:val="none"/>
          <w:lang w:eastAsia="zh-CN"/>
        </w:rPr>
        <w:t>二</w:t>
      </w:r>
      <w:r>
        <w:rPr>
          <w:rFonts w:hint="eastAsia"/>
          <w:b/>
          <w:color w:val="auto"/>
          <w:sz w:val="32"/>
          <w:szCs w:val="32"/>
          <w:highlight w:val="none"/>
        </w:rPr>
        <w:t>、供应商本项目管理、技术、服务人员情况表</w:t>
      </w:r>
    </w:p>
    <w:p w14:paraId="43713B94">
      <w:pPr>
        <w:rPr>
          <w:rFonts w:hint="eastAsia"/>
          <w:color w:val="auto"/>
          <w:sz w:val="32"/>
          <w:szCs w:val="32"/>
          <w:highlight w:val="none"/>
        </w:rPr>
      </w:pPr>
    </w:p>
    <w:p w14:paraId="254077C7">
      <w:pPr>
        <w:rPr>
          <w:rFonts w:hint="eastAsia"/>
          <w:color w:val="auto"/>
          <w:sz w:val="24"/>
          <w:highlight w:val="none"/>
        </w:rPr>
      </w:pPr>
      <w:r>
        <w:rPr>
          <w:rFonts w:hint="eastAsia"/>
          <w:color w:val="auto"/>
          <w:sz w:val="24"/>
          <w:highlight w:val="none"/>
        </w:rPr>
        <w:t>项目编号：</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1850"/>
      </w:tblGrid>
      <w:tr w14:paraId="2A45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14:paraId="768188DE">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类别</w:t>
            </w:r>
          </w:p>
        </w:tc>
        <w:tc>
          <w:tcPr>
            <w:tcW w:w="947" w:type="dxa"/>
            <w:vMerge w:val="restart"/>
            <w:noWrap w:val="0"/>
            <w:vAlign w:val="center"/>
          </w:tcPr>
          <w:p w14:paraId="19E15044">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职务</w:t>
            </w:r>
          </w:p>
        </w:tc>
        <w:tc>
          <w:tcPr>
            <w:tcW w:w="947" w:type="dxa"/>
            <w:vMerge w:val="restart"/>
            <w:noWrap w:val="0"/>
            <w:vAlign w:val="center"/>
          </w:tcPr>
          <w:p w14:paraId="5417ADDA">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姓名</w:t>
            </w:r>
          </w:p>
        </w:tc>
        <w:tc>
          <w:tcPr>
            <w:tcW w:w="947" w:type="dxa"/>
            <w:vMerge w:val="restart"/>
            <w:noWrap w:val="0"/>
            <w:vAlign w:val="center"/>
          </w:tcPr>
          <w:p w14:paraId="7444BBC9">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职称</w:t>
            </w:r>
          </w:p>
        </w:tc>
        <w:tc>
          <w:tcPr>
            <w:tcW w:w="947" w:type="dxa"/>
            <w:vMerge w:val="restart"/>
            <w:noWrap w:val="0"/>
            <w:vAlign w:val="center"/>
          </w:tcPr>
          <w:p w14:paraId="41E97B60">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常住地</w:t>
            </w:r>
          </w:p>
        </w:tc>
        <w:tc>
          <w:tcPr>
            <w:tcW w:w="4691" w:type="dxa"/>
            <w:gridSpan w:val="4"/>
            <w:noWrap w:val="0"/>
            <w:vAlign w:val="center"/>
          </w:tcPr>
          <w:p w14:paraId="0AD5C08D">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资格证明（附复印件）</w:t>
            </w:r>
          </w:p>
        </w:tc>
      </w:tr>
      <w:tr w14:paraId="51F0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4CF02EC6">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p>
        </w:tc>
        <w:tc>
          <w:tcPr>
            <w:tcW w:w="947" w:type="dxa"/>
            <w:vMerge w:val="continue"/>
            <w:noWrap w:val="0"/>
            <w:vAlign w:val="center"/>
          </w:tcPr>
          <w:p w14:paraId="31F43946">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p>
        </w:tc>
        <w:tc>
          <w:tcPr>
            <w:tcW w:w="947" w:type="dxa"/>
            <w:vMerge w:val="continue"/>
            <w:noWrap w:val="0"/>
            <w:vAlign w:val="center"/>
          </w:tcPr>
          <w:p w14:paraId="37ADE11A">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p>
        </w:tc>
        <w:tc>
          <w:tcPr>
            <w:tcW w:w="947" w:type="dxa"/>
            <w:vMerge w:val="continue"/>
            <w:noWrap w:val="0"/>
            <w:vAlign w:val="center"/>
          </w:tcPr>
          <w:p w14:paraId="3F2CDB8E">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p>
        </w:tc>
        <w:tc>
          <w:tcPr>
            <w:tcW w:w="947" w:type="dxa"/>
            <w:vMerge w:val="continue"/>
            <w:noWrap w:val="0"/>
            <w:vAlign w:val="center"/>
          </w:tcPr>
          <w:p w14:paraId="071DEC68">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p>
        </w:tc>
        <w:tc>
          <w:tcPr>
            <w:tcW w:w="947" w:type="dxa"/>
            <w:noWrap w:val="0"/>
            <w:vAlign w:val="center"/>
          </w:tcPr>
          <w:p w14:paraId="3F5851EA">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证书</w:t>
            </w:r>
          </w:p>
          <w:p w14:paraId="60F8F24D">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名称</w:t>
            </w:r>
          </w:p>
        </w:tc>
        <w:tc>
          <w:tcPr>
            <w:tcW w:w="947" w:type="dxa"/>
            <w:noWrap w:val="0"/>
            <w:vAlign w:val="center"/>
          </w:tcPr>
          <w:p w14:paraId="52E228D6">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级别</w:t>
            </w:r>
          </w:p>
        </w:tc>
        <w:tc>
          <w:tcPr>
            <w:tcW w:w="947" w:type="dxa"/>
            <w:noWrap w:val="0"/>
            <w:vAlign w:val="center"/>
          </w:tcPr>
          <w:p w14:paraId="68F0EB47">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证号</w:t>
            </w:r>
          </w:p>
        </w:tc>
        <w:tc>
          <w:tcPr>
            <w:tcW w:w="1850" w:type="dxa"/>
            <w:noWrap w:val="0"/>
            <w:vAlign w:val="center"/>
          </w:tcPr>
          <w:p w14:paraId="64E225DF">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专业</w:t>
            </w:r>
          </w:p>
        </w:tc>
      </w:tr>
      <w:tr w14:paraId="5898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14:paraId="09C904A7">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管理</w:t>
            </w:r>
          </w:p>
          <w:p w14:paraId="6E3278E6">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人员</w:t>
            </w:r>
          </w:p>
        </w:tc>
        <w:tc>
          <w:tcPr>
            <w:tcW w:w="947" w:type="dxa"/>
            <w:noWrap w:val="0"/>
            <w:vAlign w:val="top"/>
          </w:tcPr>
          <w:p w14:paraId="3CE8ECB9">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6010F32C">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71544FAF">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57655B04">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67EA041D">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0ADD8D8D">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37B0C03A">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1850" w:type="dxa"/>
            <w:noWrap w:val="0"/>
            <w:vAlign w:val="top"/>
          </w:tcPr>
          <w:p w14:paraId="738114E8">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r>
      <w:tr w14:paraId="5AE3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49B71C80">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p>
        </w:tc>
        <w:tc>
          <w:tcPr>
            <w:tcW w:w="947" w:type="dxa"/>
            <w:noWrap w:val="0"/>
            <w:vAlign w:val="top"/>
          </w:tcPr>
          <w:p w14:paraId="7435AD39">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6FDDACB1">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5863B1A1">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13FD84BE">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013921A7">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3ABAE6AD">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2C94EE31">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1850" w:type="dxa"/>
            <w:noWrap w:val="0"/>
            <w:vAlign w:val="top"/>
          </w:tcPr>
          <w:p w14:paraId="46EFEA2B">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r>
      <w:tr w14:paraId="277F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1BE2E83D">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p>
        </w:tc>
        <w:tc>
          <w:tcPr>
            <w:tcW w:w="947" w:type="dxa"/>
            <w:noWrap w:val="0"/>
            <w:vAlign w:val="top"/>
          </w:tcPr>
          <w:p w14:paraId="3A8A228E">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0C539BEA">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4C00F4AB">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777F3C66">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38F49A54">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439F0291">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16A9D2D3">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1850" w:type="dxa"/>
            <w:noWrap w:val="0"/>
            <w:vAlign w:val="top"/>
          </w:tcPr>
          <w:p w14:paraId="18322487">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r>
      <w:tr w14:paraId="21D3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14:paraId="13841E92">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技术</w:t>
            </w:r>
          </w:p>
          <w:p w14:paraId="53505667">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人员</w:t>
            </w:r>
          </w:p>
        </w:tc>
        <w:tc>
          <w:tcPr>
            <w:tcW w:w="947" w:type="dxa"/>
            <w:noWrap w:val="0"/>
            <w:vAlign w:val="top"/>
          </w:tcPr>
          <w:p w14:paraId="35B62547">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72E2E2C6">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22214628">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507B38FD">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701ADF7F">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1ED41F83">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7EB6ACCC">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1850" w:type="dxa"/>
            <w:noWrap w:val="0"/>
            <w:vAlign w:val="top"/>
          </w:tcPr>
          <w:p w14:paraId="18DC7621">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r>
      <w:tr w14:paraId="424D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295DFF9E">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p>
        </w:tc>
        <w:tc>
          <w:tcPr>
            <w:tcW w:w="947" w:type="dxa"/>
            <w:noWrap w:val="0"/>
            <w:vAlign w:val="top"/>
          </w:tcPr>
          <w:p w14:paraId="5186E670">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458F0FCB">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312854E0">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21082D45">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3AA6424C">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48E399DF">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31839854">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1850" w:type="dxa"/>
            <w:noWrap w:val="0"/>
            <w:vAlign w:val="top"/>
          </w:tcPr>
          <w:p w14:paraId="60C5A5F6">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r>
      <w:tr w14:paraId="0159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655E7DB2">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p>
        </w:tc>
        <w:tc>
          <w:tcPr>
            <w:tcW w:w="947" w:type="dxa"/>
            <w:noWrap w:val="0"/>
            <w:vAlign w:val="top"/>
          </w:tcPr>
          <w:p w14:paraId="1622257E">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7FDB8069">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1DF7465B">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55C56302">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70132019">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13B8C6A7">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6BCE0232">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1850" w:type="dxa"/>
            <w:noWrap w:val="0"/>
            <w:vAlign w:val="top"/>
          </w:tcPr>
          <w:p w14:paraId="521F3CFD">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r>
      <w:tr w14:paraId="6A5B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14:paraId="22CE7AE0">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售后服务人员</w:t>
            </w:r>
          </w:p>
        </w:tc>
        <w:tc>
          <w:tcPr>
            <w:tcW w:w="947" w:type="dxa"/>
            <w:noWrap w:val="0"/>
            <w:vAlign w:val="top"/>
          </w:tcPr>
          <w:p w14:paraId="0EBB8E97">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60D0C2A6">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2573A5AF">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59148284">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0ADDB79D">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436B1F0D">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0F4F0C2E">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1850" w:type="dxa"/>
            <w:noWrap w:val="0"/>
            <w:vAlign w:val="top"/>
          </w:tcPr>
          <w:p w14:paraId="745A3BFA">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r>
      <w:tr w14:paraId="3396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top"/>
          </w:tcPr>
          <w:p w14:paraId="0E82C4B2">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1119C646">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6E010AD9">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0D358611">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531CA42F">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27BB2ED6">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4A687D34">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5DCCC443">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1850" w:type="dxa"/>
            <w:noWrap w:val="0"/>
            <w:vAlign w:val="top"/>
          </w:tcPr>
          <w:p w14:paraId="791E5B74">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r>
      <w:tr w14:paraId="585D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top"/>
          </w:tcPr>
          <w:p w14:paraId="127427E3">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5BCFA5F9">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66922F2B">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471EE1A3">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1EE38477">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6AD5CCEB">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01C61860">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947" w:type="dxa"/>
            <w:noWrap w:val="0"/>
            <w:vAlign w:val="top"/>
          </w:tcPr>
          <w:p w14:paraId="260D4F7B">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c>
          <w:tcPr>
            <w:tcW w:w="1850" w:type="dxa"/>
            <w:noWrap w:val="0"/>
            <w:vAlign w:val="top"/>
          </w:tcPr>
          <w:p w14:paraId="2FD2DEE8">
            <w:pPr>
              <w:keepNext w:val="0"/>
              <w:keepLines w:val="0"/>
              <w:suppressLineNumbers w:val="0"/>
              <w:spacing w:before="0" w:beforeAutospacing="0" w:after="0" w:afterAutospacing="0"/>
              <w:ind w:left="0" w:right="0"/>
              <w:rPr>
                <w:rFonts w:hint="eastAsia" w:ascii="Times New Roman" w:hAnsi="Times New Roman" w:cs="Times New Roman"/>
                <w:color w:val="auto"/>
                <w:sz w:val="24"/>
                <w:highlight w:val="none"/>
              </w:rPr>
            </w:pPr>
          </w:p>
        </w:tc>
      </w:tr>
    </w:tbl>
    <w:p w14:paraId="32189417">
      <w:pPr>
        <w:rPr>
          <w:rFonts w:hint="eastAsia" w:ascii="宋体" w:hAnsi="宋体"/>
          <w:color w:val="auto"/>
          <w:sz w:val="24"/>
          <w:highlight w:val="none"/>
        </w:rPr>
      </w:pPr>
    </w:p>
    <w:p w14:paraId="2A662029">
      <w:pPr>
        <w:rPr>
          <w:rFonts w:hint="eastAsia" w:ascii="宋体" w:hAnsi="宋体"/>
          <w:color w:val="auto"/>
          <w:sz w:val="24"/>
          <w:highlight w:val="none"/>
        </w:rPr>
      </w:pPr>
    </w:p>
    <w:p w14:paraId="159F3942">
      <w:pPr>
        <w:rPr>
          <w:rFonts w:hint="eastAsia" w:ascii="宋体" w:hAnsi="宋体"/>
          <w:color w:val="auto"/>
          <w:sz w:val="24"/>
          <w:highlight w:val="none"/>
        </w:rPr>
      </w:pPr>
    </w:p>
    <w:p w14:paraId="1D54B112">
      <w:pPr>
        <w:rPr>
          <w:rFonts w:hint="eastAsia"/>
          <w:color w:val="auto"/>
          <w:sz w:val="24"/>
          <w:highlight w:val="none"/>
        </w:rPr>
      </w:pPr>
      <w:r>
        <w:rPr>
          <w:rFonts w:hint="eastAsia"/>
          <w:color w:val="auto"/>
          <w:sz w:val="24"/>
          <w:highlight w:val="none"/>
        </w:rPr>
        <w:t>供应商名称：XXX（盖单位公章）</w:t>
      </w:r>
    </w:p>
    <w:p w14:paraId="155958C3">
      <w:pPr>
        <w:rPr>
          <w:rFonts w:hint="eastAsia"/>
          <w:color w:val="auto"/>
          <w:sz w:val="24"/>
          <w:highlight w:val="none"/>
        </w:rPr>
      </w:pPr>
      <w:r>
        <w:rPr>
          <w:rFonts w:hint="eastAsia"/>
          <w:color w:val="auto"/>
          <w:sz w:val="24"/>
          <w:highlight w:val="none"/>
        </w:rPr>
        <w:t>法定代表人或授权代表（签字）：XXX</w:t>
      </w:r>
    </w:p>
    <w:p w14:paraId="18FC1CF0">
      <w:pPr>
        <w:rPr>
          <w:rFonts w:hint="eastAsia"/>
          <w:color w:val="auto"/>
          <w:sz w:val="24"/>
          <w:highlight w:val="none"/>
        </w:rPr>
      </w:pPr>
      <w:r>
        <w:rPr>
          <w:rFonts w:hint="eastAsia"/>
          <w:color w:val="auto"/>
          <w:sz w:val="24"/>
          <w:highlight w:val="none"/>
        </w:rPr>
        <w:t>日      期</w:t>
      </w:r>
      <w:r>
        <w:rPr>
          <w:rFonts w:hint="eastAsia" w:ascii="宋体" w:hAnsi="宋体"/>
          <w:color w:val="auto"/>
          <w:sz w:val="24"/>
          <w:highlight w:val="none"/>
        </w:rPr>
        <w:t>：</w:t>
      </w:r>
      <w:r>
        <w:rPr>
          <w:rFonts w:hint="eastAsia"/>
          <w:color w:val="auto"/>
          <w:sz w:val="24"/>
          <w:highlight w:val="none"/>
        </w:rPr>
        <w:t>XXX</w:t>
      </w:r>
    </w:p>
    <w:p w14:paraId="0C3EE562">
      <w:pPr>
        <w:pStyle w:val="7"/>
        <w:spacing w:line="360" w:lineRule="auto"/>
        <w:jc w:val="center"/>
        <w:rPr>
          <w:rFonts w:hint="eastAsia" w:ascii="宋体" w:hAnsi="宋体" w:cs="宋体"/>
          <w:b/>
          <w:bCs/>
          <w:color w:val="auto"/>
          <w:sz w:val="32"/>
          <w:szCs w:val="32"/>
          <w:highlight w:val="none"/>
        </w:rPr>
      </w:pPr>
      <w:r>
        <w:rPr>
          <w:rFonts w:hint="eastAsia" w:ascii="宋体" w:hAnsi="宋体" w:cs="宋体"/>
          <w:color w:val="auto"/>
          <w:sz w:val="32"/>
          <w:szCs w:val="32"/>
          <w:highlight w:val="none"/>
        </w:rPr>
        <w:br w:type="page"/>
      </w:r>
      <w:bookmarkStart w:id="97" w:name="_Toc15144"/>
      <w:bookmarkStart w:id="98" w:name="_Toc11580"/>
      <w:bookmarkStart w:id="99" w:name="_Toc7727"/>
      <w:bookmarkStart w:id="100" w:name="_Toc16993"/>
      <w:bookmarkStart w:id="101" w:name="_Toc12974"/>
      <w:bookmarkStart w:id="102" w:name="_Toc28887"/>
      <w:bookmarkStart w:id="103" w:name="_Toc202290893"/>
      <w:bookmarkStart w:id="104" w:name="_Toc25777"/>
      <w:bookmarkStart w:id="105" w:name="_Toc2152"/>
      <w:r>
        <w:rPr>
          <w:rFonts w:hint="eastAsia" w:ascii="宋体" w:hAnsi="宋体" w:eastAsia="宋体" w:cs="宋体"/>
          <w:b/>
          <w:color w:val="auto"/>
          <w:sz w:val="32"/>
          <w:szCs w:val="32"/>
          <w:highlight w:val="none"/>
          <w:lang w:eastAsia="zh-CN"/>
        </w:rPr>
        <w:t>十三</w:t>
      </w:r>
      <w:r>
        <w:rPr>
          <w:rFonts w:hint="eastAsia" w:ascii="宋体" w:hAnsi="宋体" w:eastAsia="宋体" w:cs="宋体"/>
          <w:b/>
          <w:color w:val="auto"/>
          <w:sz w:val="32"/>
          <w:szCs w:val="32"/>
          <w:highlight w:val="none"/>
        </w:rPr>
        <w:t>、供</w:t>
      </w:r>
      <w:r>
        <w:rPr>
          <w:rFonts w:hint="eastAsia" w:ascii="宋体" w:hAnsi="宋体" w:cs="宋体"/>
          <w:b/>
          <w:color w:val="auto"/>
          <w:sz w:val="32"/>
          <w:szCs w:val="32"/>
          <w:highlight w:val="none"/>
        </w:rPr>
        <w:t>应商类似项目业绩一览表（若有）</w:t>
      </w:r>
    </w:p>
    <w:tbl>
      <w:tblPr>
        <w:tblStyle w:val="32"/>
        <w:tblpPr w:leftFromText="180" w:rightFromText="180" w:vertAnchor="text" w:horzAnchor="page" w:tblpXSpec="center" w:tblpY="118"/>
        <w:tblOverlap w:val="neve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89"/>
        <w:gridCol w:w="1404"/>
        <w:gridCol w:w="1973"/>
        <w:gridCol w:w="1160"/>
        <w:gridCol w:w="1626"/>
        <w:gridCol w:w="1166"/>
        <w:gridCol w:w="16"/>
      </w:tblGrid>
      <w:tr w14:paraId="600801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89" w:type="dxa"/>
            <w:tcBorders>
              <w:top w:val="single" w:color="auto" w:sz="4" w:space="0"/>
            </w:tcBorders>
            <w:noWrap w:val="0"/>
            <w:vAlign w:val="center"/>
          </w:tcPr>
          <w:p w14:paraId="7C751EAA">
            <w:pPr>
              <w:keepNext w:val="0"/>
              <w:keepLines w:val="0"/>
              <w:suppressLineNumbers w:val="0"/>
              <w:spacing w:before="0" w:beforeAutospacing="0" w:after="0" w:afterAutospacing="0" w:line="360" w:lineRule="auto"/>
              <w:ind w:left="0" w:right="0" w:firstLine="316" w:firstLineChars="150"/>
              <w:jc w:val="left"/>
              <w:rPr>
                <w:rFonts w:hint="eastAsia" w:ascii="宋体" w:hAnsi="宋体" w:cs="宋体"/>
                <w:b/>
                <w:color w:val="auto"/>
                <w:highlight w:val="none"/>
              </w:rPr>
            </w:pPr>
            <w:r>
              <w:rPr>
                <w:rFonts w:hint="eastAsia" w:ascii="宋体" w:hAnsi="宋体" w:cs="宋体"/>
                <w:b/>
                <w:color w:val="auto"/>
                <w:highlight w:val="none"/>
              </w:rPr>
              <w:t>年份</w:t>
            </w:r>
          </w:p>
        </w:tc>
        <w:tc>
          <w:tcPr>
            <w:tcW w:w="1404" w:type="dxa"/>
            <w:noWrap w:val="0"/>
            <w:vAlign w:val="center"/>
          </w:tcPr>
          <w:p w14:paraId="49DC8F79">
            <w:pPr>
              <w:keepNext w:val="0"/>
              <w:keepLines w:val="0"/>
              <w:suppressLineNumbers w:val="0"/>
              <w:spacing w:before="0" w:beforeAutospacing="0" w:after="0" w:afterAutospacing="0" w:line="360" w:lineRule="auto"/>
              <w:ind w:left="0" w:right="0" w:firstLine="316" w:firstLineChars="150"/>
              <w:jc w:val="left"/>
              <w:rPr>
                <w:rFonts w:hint="eastAsia" w:ascii="宋体" w:hAnsi="宋体" w:cs="宋体"/>
                <w:b/>
                <w:color w:val="auto"/>
                <w:highlight w:val="none"/>
              </w:rPr>
            </w:pPr>
            <w:r>
              <w:rPr>
                <w:rFonts w:hint="eastAsia" w:ascii="宋体" w:hAnsi="宋体" w:cs="宋体"/>
                <w:b/>
                <w:color w:val="auto"/>
                <w:highlight w:val="none"/>
              </w:rPr>
              <w:t>用户名称</w:t>
            </w:r>
          </w:p>
        </w:tc>
        <w:tc>
          <w:tcPr>
            <w:tcW w:w="1973" w:type="dxa"/>
            <w:noWrap w:val="0"/>
            <w:vAlign w:val="center"/>
          </w:tcPr>
          <w:p w14:paraId="05F71426">
            <w:pPr>
              <w:keepNext w:val="0"/>
              <w:keepLines w:val="0"/>
              <w:suppressLineNumbers w:val="0"/>
              <w:spacing w:before="0" w:beforeAutospacing="0" w:after="0" w:afterAutospacing="0" w:line="360" w:lineRule="auto"/>
              <w:ind w:left="0" w:right="0" w:firstLine="316" w:firstLineChars="150"/>
              <w:jc w:val="left"/>
              <w:rPr>
                <w:rFonts w:hint="eastAsia" w:ascii="宋体" w:hAnsi="宋体" w:cs="宋体"/>
                <w:b/>
                <w:color w:val="auto"/>
                <w:highlight w:val="none"/>
              </w:rPr>
            </w:pPr>
            <w:r>
              <w:rPr>
                <w:rFonts w:hint="eastAsia" w:ascii="宋体" w:hAnsi="宋体" w:cs="宋体"/>
                <w:b/>
                <w:color w:val="auto"/>
                <w:highlight w:val="none"/>
              </w:rPr>
              <w:t>项目名称</w:t>
            </w:r>
          </w:p>
        </w:tc>
        <w:tc>
          <w:tcPr>
            <w:tcW w:w="1160" w:type="dxa"/>
            <w:noWrap w:val="0"/>
            <w:vAlign w:val="center"/>
          </w:tcPr>
          <w:p w14:paraId="39B4AA50">
            <w:pPr>
              <w:keepNext w:val="0"/>
              <w:keepLines w:val="0"/>
              <w:suppressLineNumbers w:val="0"/>
              <w:spacing w:before="0" w:beforeAutospacing="0" w:after="0" w:afterAutospacing="0" w:line="360" w:lineRule="auto"/>
              <w:ind w:left="0" w:right="0"/>
              <w:jc w:val="left"/>
              <w:rPr>
                <w:rFonts w:hint="eastAsia" w:ascii="宋体" w:hAnsi="宋体" w:cs="宋体"/>
                <w:b/>
                <w:color w:val="auto"/>
                <w:highlight w:val="none"/>
              </w:rPr>
            </w:pPr>
            <w:r>
              <w:rPr>
                <w:rFonts w:hint="eastAsia" w:ascii="宋体" w:hAnsi="宋体" w:cs="宋体"/>
                <w:b/>
                <w:color w:val="auto"/>
                <w:highlight w:val="none"/>
              </w:rPr>
              <w:t>完成时间</w:t>
            </w:r>
          </w:p>
        </w:tc>
        <w:tc>
          <w:tcPr>
            <w:tcW w:w="1626" w:type="dxa"/>
            <w:noWrap w:val="0"/>
            <w:vAlign w:val="center"/>
          </w:tcPr>
          <w:p w14:paraId="26AF14C5">
            <w:pPr>
              <w:keepNext w:val="0"/>
              <w:keepLines w:val="0"/>
              <w:suppressLineNumbers w:val="0"/>
              <w:spacing w:before="0" w:beforeAutospacing="0" w:after="0" w:afterAutospacing="0" w:line="360" w:lineRule="auto"/>
              <w:ind w:left="0" w:right="0" w:firstLine="316" w:firstLineChars="150"/>
              <w:jc w:val="left"/>
              <w:rPr>
                <w:rFonts w:hint="eastAsia" w:ascii="宋体" w:hAnsi="宋体" w:cs="宋体"/>
                <w:b/>
                <w:color w:val="auto"/>
                <w:highlight w:val="none"/>
              </w:rPr>
            </w:pPr>
            <w:r>
              <w:rPr>
                <w:rFonts w:hint="eastAsia" w:ascii="宋体" w:hAnsi="宋体" w:cs="宋体"/>
                <w:b/>
                <w:color w:val="auto"/>
                <w:highlight w:val="none"/>
              </w:rPr>
              <w:t>合同金额</w:t>
            </w:r>
          </w:p>
        </w:tc>
        <w:tc>
          <w:tcPr>
            <w:tcW w:w="1182" w:type="dxa"/>
            <w:gridSpan w:val="2"/>
            <w:tcBorders>
              <w:left w:val="single" w:color="auto" w:sz="4" w:space="0"/>
            </w:tcBorders>
            <w:noWrap w:val="0"/>
            <w:vAlign w:val="center"/>
          </w:tcPr>
          <w:p w14:paraId="54C3433C">
            <w:pPr>
              <w:keepNext w:val="0"/>
              <w:keepLines w:val="0"/>
              <w:suppressLineNumbers w:val="0"/>
              <w:spacing w:before="0" w:beforeAutospacing="0" w:after="0" w:afterAutospacing="0" w:line="360" w:lineRule="auto"/>
              <w:ind w:left="0" w:right="0" w:firstLine="316" w:firstLineChars="150"/>
              <w:jc w:val="left"/>
              <w:rPr>
                <w:rFonts w:hint="eastAsia" w:ascii="宋体" w:hAnsi="宋体" w:cs="宋体"/>
                <w:b/>
                <w:color w:val="auto"/>
                <w:highlight w:val="none"/>
              </w:rPr>
            </w:pPr>
            <w:r>
              <w:rPr>
                <w:rFonts w:hint="eastAsia" w:ascii="宋体" w:hAnsi="宋体" w:cs="宋体"/>
                <w:b/>
                <w:color w:val="auto"/>
                <w:highlight w:val="none"/>
              </w:rPr>
              <w:t>备注</w:t>
            </w:r>
          </w:p>
        </w:tc>
      </w:tr>
      <w:tr w14:paraId="02A491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89" w:type="dxa"/>
            <w:noWrap w:val="0"/>
            <w:vAlign w:val="center"/>
          </w:tcPr>
          <w:p w14:paraId="5F560C77">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404" w:type="dxa"/>
            <w:noWrap w:val="0"/>
            <w:vAlign w:val="center"/>
          </w:tcPr>
          <w:p w14:paraId="7DA5F82D">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973" w:type="dxa"/>
            <w:noWrap w:val="0"/>
            <w:vAlign w:val="center"/>
          </w:tcPr>
          <w:p w14:paraId="4C43D2D7">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60" w:type="dxa"/>
            <w:noWrap w:val="0"/>
            <w:vAlign w:val="center"/>
          </w:tcPr>
          <w:p w14:paraId="77660142">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626" w:type="dxa"/>
            <w:noWrap w:val="0"/>
            <w:vAlign w:val="center"/>
          </w:tcPr>
          <w:p w14:paraId="4802B3A3">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82" w:type="dxa"/>
            <w:gridSpan w:val="2"/>
            <w:tcBorders>
              <w:left w:val="single" w:color="auto" w:sz="4" w:space="0"/>
            </w:tcBorders>
            <w:noWrap w:val="0"/>
            <w:vAlign w:val="center"/>
          </w:tcPr>
          <w:p w14:paraId="6BC9EBE7">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r>
      <w:tr w14:paraId="401247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89" w:type="dxa"/>
            <w:noWrap w:val="0"/>
            <w:vAlign w:val="center"/>
          </w:tcPr>
          <w:p w14:paraId="383C4A74">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404" w:type="dxa"/>
            <w:noWrap w:val="0"/>
            <w:vAlign w:val="center"/>
          </w:tcPr>
          <w:p w14:paraId="3536761E">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973" w:type="dxa"/>
            <w:noWrap w:val="0"/>
            <w:vAlign w:val="center"/>
          </w:tcPr>
          <w:p w14:paraId="745C129E">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60" w:type="dxa"/>
            <w:noWrap w:val="0"/>
            <w:vAlign w:val="center"/>
          </w:tcPr>
          <w:p w14:paraId="1660472B">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626" w:type="dxa"/>
            <w:noWrap w:val="0"/>
            <w:vAlign w:val="center"/>
          </w:tcPr>
          <w:p w14:paraId="4BFFAF53">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82" w:type="dxa"/>
            <w:gridSpan w:val="2"/>
            <w:tcBorders>
              <w:left w:val="single" w:color="auto" w:sz="4" w:space="0"/>
            </w:tcBorders>
            <w:noWrap w:val="0"/>
            <w:vAlign w:val="center"/>
          </w:tcPr>
          <w:p w14:paraId="682B5247">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r>
      <w:tr w14:paraId="4F505F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89" w:type="dxa"/>
            <w:noWrap w:val="0"/>
            <w:vAlign w:val="center"/>
          </w:tcPr>
          <w:p w14:paraId="2CA0B6B9">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404" w:type="dxa"/>
            <w:noWrap w:val="0"/>
            <w:vAlign w:val="center"/>
          </w:tcPr>
          <w:p w14:paraId="04B4779B">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973" w:type="dxa"/>
            <w:noWrap w:val="0"/>
            <w:vAlign w:val="center"/>
          </w:tcPr>
          <w:p w14:paraId="3CF79FDE">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60" w:type="dxa"/>
            <w:noWrap w:val="0"/>
            <w:vAlign w:val="center"/>
          </w:tcPr>
          <w:p w14:paraId="7783D4AD">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626" w:type="dxa"/>
            <w:noWrap w:val="0"/>
            <w:vAlign w:val="center"/>
          </w:tcPr>
          <w:p w14:paraId="60979649">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82" w:type="dxa"/>
            <w:gridSpan w:val="2"/>
            <w:tcBorders>
              <w:left w:val="single" w:color="auto" w:sz="4" w:space="0"/>
            </w:tcBorders>
            <w:noWrap w:val="0"/>
            <w:vAlign w:val="center"/>
          </w:tcPr>
          <w:p w14:paraId="69BF9BA9">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r>
      <w:tr w14:paraId="11259A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89" w:type="dxa"/>
            <w:noWrap w:val="0"/>
            <w:vAlign w:val="center"/>
          </w:tcPr>
          <w:p w14:paraId="22FDAEAB">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404" w:type="dxa"/>
            <w:tcBorders>
              <w:right w:val="single" w:color="auto" w:sz="4" w:space="0"/>
            </w:tcBorders>
            <w:noWrap w:val="0"/>
            <w:vAlign w:val="center"/>
          </w:tcPr>
          <w:p w14:paraId="2DE854AB">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973" w:type="dxa"/>
            <w:tcBorders>
              <w:left w:val="single" w:color="auto" w:sz="4" w:space="0"/>
            </w:tcBorders>
            <w:noWrap w:val="0"/>
            <w:vAlign w:val="center"/>
          </w:tcPr>
          <w:p w14:paraId="7322E26B">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60" w:type="dxa"/>
            <w:noWrap w:val="0"/>
            <w:vAlign w:val="center"/>
          </w:tcPr>
          <w:p w14:paraId="708412AF">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626" w:type="dxa"/>
            <w:noWrap w:val="0"/>
            <w:vAlign w:val="center"/>
          </w:tcPr>
          <w:p w14:paraId="477CD9E9">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82" w:type="dxa"/>
            <w:gridSpan w:val="2"/>
            <w:tcBorders>
              <w:left w:val="single" w:color="auto" w:sz="4" w:space="0"/>
            </w:tcBorders>
            <w:noWrap w:val="0"/>
            <w:vAlign w:val="center"/>
          </w:tcPr>
          <w:p w14:paraId="5D142DE9">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r>
      <w:tr w14:paraId="2EAE59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6" w:type="dxa"/>
          <w:cantSplit/>
          <w:trHeight w:val="600" w:hRule="atLeast"/>
          <w:jc w:val="center"/>
        </w:trPr>
        <w:tc>
          <w:tcPr>
            <w:tcW w:w="889" w:type="dxa"/>
            <w:tcBorders>
              <w:right w:val="single" w:color="auto" w:sz="4" w:space="0"/>
            </w:tcBorders>
            <w:noWrap w:val="0"/>
            <w:vAlign w:val="center"/>
          </w:tcPr>
          <w:p w14:paraId="6B9BAD23">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404" w:type="dxa"/>
            <w:tcBorders>
              <w:left w:val="single" w:color="auto" w:sz="4" w:space="0"/>
              <w:right w:val="single" w:color="auto" w:sz="4" w:space="0"/>
            </w:tcBorders>
            <w:noWrap w:val="0"/>
            <w:vAlign w:val="center"/>
          </w:tcPr>
          <w:p w14:paraId="38CCD7A6">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973" w:type="dxa"/>
            <w:tcBorders>
              <w:left w:val="single" w:color="auto" w:sz="4" w:space="0"/>
              <w:right w:val="single" w:color="auto" w:sz="4" w:space="0"/>
            </w:tcBorders>
            <w:noWrap w:val="0"/>
            <w:vAlign w:val="center"/>
          </w:tcPr>
          <w:p w14:paraId="1FA5997E">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60" w:type="dxa"/>
            <w:tcBorders>
              <w:left w:val="single" w:color="auto" w:sz="4" w:space="0"/>
              <w:right w:val="single" w:color="auto" w:sz="4" w:space="0"/>
            </w:tcBorders>
            <w:noWrap w:val="0"/>
            <w:vAlign w:val="center"/>
          </w:tcPr>
          <w:p w14:paraId="75BD0DA2">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626" w:type="dxa"/>
            <w:tcBorders>
              <w:left w:val="single" w:color="auto" w:sz="4" w:space="0"/>
              <w:right w:val="single" w:color="auto" w:sz="4" w:space="0"/>
            </w:tcBorders>
            <w:noWrap w:val="0"/>
            <w:vAlign w:val="center"/>
          </w:tcPr>
          <w:p w14:paraId="33B8F436">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66" w:type="dxa"/>
            <w:tcBorders>
              <w:left w:val="single" w:color="auto" w:sz="4" w:space="0"/>
            </w:tcBorders>
            <w:noWrap w:val="0"/>
            <w:vAlign w:val="center"/>
          </w:tcPr>
          <w:p w14:paraId="47721D09">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r>
      <w:tr w14:paraId="1D00D0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89" w:type="dxa"/>
            <w:noWrap w:val="0"/>
            <w:vAlign w:val="center"/>
          </w:tcPr>
          <w:p w14:paraId="6E517723">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404" w:type="dxa"/>
            <w:noWrap w:val="0"/>
            <w:vAlign w:val="center"/>
          </w:tcPr>
          <w:p w14:paraId="16052D90">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973" w:type="dxa"/>
            <w:noWrap w:val="0"/>
            <w:vAlign w:val="center"/>
          </w:tcPr>
          <w:p w14:paraId="784C0982">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60" w:type="dxa"/>
            <w:noWrap w:val="0"/>
            <w:vAlign w:val="center"/>
          </w:tcPr>
          <w:p w14:paraId="0B1AB1A5">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626" w:type="dxa"/>
            <w:tcBorders>
              <w:right w:val="single" w:color="auto" w:sz="4" w:space="0"/>
            </w:tcBorders>
            <w:noWrap w:val="0"/>
            <w:vAlign w:val="center"/>
          </w:tcPr>
          <w:p w14:paraId="4A91AE64">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82" w:type="dxa"/>
            <w:gridSpan w:val="2"/>
            <w:tcBorders>
              <w:left w:val="single" w:color="auto" w:sz="4" w:space="0"/>
            </w:tcBorders>
            <w:noWrap w:val="0"/>
            <w:vAlign w:val="center"/>
          </w:tcPr>
          <w:p w14:paraId="46217921">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r>
      <w:tr w14:paraId="157BDD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89" w:type="dxa"/>
            <w:noWrap w:val="0"/>
            <w:vAlign w:val="center"/>
          </w:tcPr>
          <w:p w14:paraId="6FD16936">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404" w:type="dxa"/>
            <w:noWrap w:val="0"/>
            <w:vAlign w:val="center"/>
          </w:tcPr>
          <w:p w14:paraId="28B55833">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973" w:type="dxa"/>
            <w:noWrap w:val="0"/>
            <w:vAlign w:val="center"/>
          </w:tcPr>
          <w:p w14:paraId="4E275487">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60" w:type="dxa"/>
            <w:noWrap w:val="0"/>
            <w:vAlign w:val="center"/>
          </w:tcPr>
          <w:p w14:paraId="19F2E357">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626" w:type="dxa"/>
            <w:tcBorders>
              <w:right w:val="single" w:color="auto" w:sz="4" w:space="0"/>
            </w:tcBorders>
            <w:noWrap w:val="0"/>
            <w:vAlign w:val="center"/>
          </w:tcPr>
          <w:p w14:paraId="4A467810">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82" w:type="dxa"/>
            <w:gridSpan w:val="2"/>
            <w:tcBorders>
              <w:left w:val="single" w:color="auto" w:sz="4" w:space="0"/>
            </w:tcBorders>
            <w:noWrap w:val="0"/>
            <w:vAlign w:val="center"/>
          </w:tcPr>
          <w:p w14:paraId="220AC7AA">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r>
      <w:tr w14:paraId="168B74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89" w:type="dxa"/>
            <w:noWrap w:val="0"/>
            <w:vAlign w:val="center"/>
          </w:tcPr>
          <w:p w14:paraId="447D7953">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404" w:type="dxa"/>
            <w:noWrap w:val="0"/>
            <w:vAlign w:val="center"/>
          </w:tcPr>
          <w:p w14:paraId="343F42F0">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973" w:type="dxa"/>
            <w:noWrap w:val="0"/>
            <w:vAlign w:val="center"/>
          </w:tcPr>
          <w:p w14:paraId="4186D665">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60" w:type="dxa"/>
            <w:noWrap w:val="0"/>
            <w:vAlign w:val="center"/>
          </w:tcPr>
          <w:p w14:paraId="046186D6">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626" w:type="dxa"/>
            <w:tcBorders>
              <w:right w:val="single" w:color="auto" w:sz="4" w:space="0"/>
            </w:tcBorders>
            <w:noWrap w:val="0"/>
            <w:vAlign w:val="center"/>
          </w:tcPr>
          <w:p w14:paraId="54C5FA88">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82" w:type="dxa"/>
            <w:gridSpan w:val="2"/>
            <w:tcBorders>
              <w:left w:val="single" w:color="auto" w:sz="4" w:space="0"/>
            </w:tcBorders>
            <w:noWrap w:val="0"/>
            <w:vAlign w:val="center"/>
          </w:tcPr>
          <w:p w14:paraId="77F85F27">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r>
      <w:tr w14:paraId="440D8C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889" w:type="dxa"/>
            <w:tcBorders>
              <w:bottom w:val="single" w:color="auto" w:sz="4" w:space="0"/>
            </w:tcBorders>
            <w:noWrap w:val="0"/>
            <w:vAlign w:val="center"/>
          </w:tcPr>
          <w:p w14:paraId="3AD81E1F">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404" w:type="dxa"/>
            <w:tcBorders>
              <w:bottom w:val="single" w:color="auto" w:sz="4" w:space="0"/>
            </w:tcBorders>
            <w:noWrap w:val="0"/>
            <w:vAlign w:val="center"/>
          </w:tcPr>
          <w:p w14:paraId="2FBC3E6A">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973" w:type="dxa"/>
            <w:tcBorders>
              <w:bottom w:val="single" w:color="auto" w:sz="4" w:space="0"/>
            </w:tcBorders>
            <w:noWrap w:val="0"/>
            <w:vAlign w:val="center"/>
          </w:tcPr>
          <w:p w14:paraId="7A3E80A3">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60" w:type="dxa"/>
            <w:tcBorders>
              <w:bottom w:val="single" w:color="auto" w:sz="4" w:space="0"/>
            </w:tcBorders>
            <w:noWrap w:val="0"/>
            <w:vAlign w:val="center"/>
          </w:tcPr>
          <w:p w14:paraId="15C7D7F5">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626" w:type="dxa"/>
            <w:tcBorders>
              <w:bottom w:val="single" w:color="auto" w:sz="4" w:space="0"/>
              <w:right w:val="single" w:color="auto" w:sz="4" w:space="0"/>
            </w:tcBorders>
            <w:noWrap w:val="0"/>
            <w:vAlign w:val="center"/>
          </w:tcPr>
          <w:p w14:paraId="7D4CC33B">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82" w:type="dxa"/>
            <w:gridSpan w:val="2"/>
            <w:tcBorders>
              <w:left w:val="single" w:color="auto" w:sz="4" w:space="0"/>
              <w:bottom w:val="single" w:color="auto" w:sz="4" w:space="0"/>
            </w:tcBorders>
            <w:noWrap w:val="0"/>
            <w:vAlign w:val="center"/>
          </w:tcPr>
          <w:p w14:paraId="305308CB">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r>
      <w:tr w14:paraId="48FD3C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889" w:type="dxa"/>
            <w:tcBorders>
              <w:top w:val="single" w:color="auto" w:sz="4" w:space="0"/>
              <w:bottom w:val="single" w:color="auto" w:sz="4" w:space="0"/>
            </w:tcBorders>
            <w:noWrap w:val="0"/>
            <w:vAlign w:val="center"/>
          </w:tcPr>
          <w:p w14:paraId="11C5DDCF">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404" w:type="dxa"/>
            <w:tcBorders>
              <w:top w:val="single" w:color="auto" w:sz="4" w:space="0"/>
              <w:bottom w:val="single" w:color="auto" w:sz="4" w:space="0"/>
            </w:tcBorders>
            <w:noWrap w:val="0"/>
            <w:vAlign w:val="center"/>
          </w:tcPr>
          <w:p w14:paraId="5D7C2330">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973" w:type="dxa"/>
            <w:tcBorders>
              <w:top w:val="single" w:color="auto" w:sz="4" w:space="0"/>
              <w:bottom w:val="single" w:color="auto" w:sz="4" w:space="0"/>
            </w:tcBorders>
            <w:noWrap w:val="0"/>
            <w:vAlign w:val="center"/>
          </w:tcPr>
          <w:p w14:paraId="2E87EA7E">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60" w:type="dxa"/>
            <w:tcBorders>
              <w:top w:val="single" w:color="auto" w:sz="4" w:space="0"/>
              <w:bottom w:val="single" w:color="auto" w:sz="4" w:space="0"/>
            </w:tcBorders>
            <w:noWrap w:val="0"/>
            <w:vAlign w:val="center"/>
          </w:tcPr>
          <w:p w14:paraId="76E55795">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626" w:type="dxa"/>
            <w:tcBorders>
              <w:top w:val="single" w:color="auto" w:sz="4" w:space="0"/>
              <w:bottom w:val="single" w:color="auto" w:sz="4" w:space="0"/>
              <w:right w:val="single" w:color="auto" w:sz="4" w:space="0"/>
            </w:tcBorders>
            <w:noWrap w:val="0"/>
            <w:vAlign w:val="center"/>
          </w:tcPr>
          <w:p w14:paraId="4345D58F">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82" w:type="dxa"/>
            <w:gridSpan w:val="2"/>
            <w:tcBorders>
              <w:top w:val="single" w:color="auto" w:sz="4" w:space="0"/>
              <w:left w:val="single" w:color="auto" w:sz="4" w:space="0"/>
              <w:bottom w:val="single" w:color="auto" w:sz="4" w:space="0"/>
            </w:tcBorders>
            <w:noWrap w:val="0"/>
            <w:vAlign w:val="center"/>
          </w:tcPr>
          <w:p w14:paraId="14768B91">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r>
      <w:tr w14:paraId="6E353B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889" w:type="dxa"/>
            <w:tcBorders>
              <w:top w:val="single" w:color="auto" w:sz="4" w:space="0"/>
              <w:bottom w:val="single" w:color="auto" w:sz="4" w:space="0"/>
            </w:tcBorders>
            <w:noWrap w:val="0"/>
            <w:vAlign w:val="center"/>
          </w:tcPr>
          <w:p w14:paraId="152DCD85">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404" w:type="dxa"/>
            <w:tcBorders>
              <w:top w:val="single" w:color="auto" w:sz="4" w:space="0"/>
              <w:bottom w:val="single" w:color="auto" w:sz="4" w:space="0"/>
            </w:tcBorders>
            <w:noWrap w:val="0"/>
            <w:vAlign w:val="center"/>
          </w:tcPr>
          <w:p w14:paraId="54D14FB2">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973" w:type="dxa"/>
            <w:tcBorders>
              <w:top w:val="single" w:color="auto" w:sz="4" w:space="0"/>
              <w:bottom w:val="single" w:color="auto" w:sz="4" w:space="0"/>
            </w:tcBorders>
            <w:noWrap w:val="0"/>
            <w:vAlign w:val="center"/>
          </w:tcPr>
          <w:p w14:paraId="717FA9B1">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60" w:type="dxa"/>
            <w:tcBorders>
              <w:top w:val="single" w:color="auto" w:sz="4" w:space="0"/>
              <w:bottom w:val="single" w:color="auto" w:sz="4" w:space="0"/>
            </w:tcBorders>
            <w:noWrap w:val="0"/>
            <w:vAlign w:val="center"/>
          </w:tcPr>
          <w:p w14:paraId="74102A11">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626" w:type="dxa"/>
            <w:tcBorders>
              <w:top w:val="single" w:color="auto" w:sz="4" w:space="0"/>
              <w:bottom w:val="single" w:color="auto" w:sz="4" w:space="0"/>
              <w:right w:val="single" w:color="auto" w:sz="4" w:space="0"/>
            </w:tcBorders>
            <w:noWrap w:val="0"/>
            <w:vAlign w:val="center"/>
          </w:tcPr>
          <w:p w14:paraId="57075814">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82" w:type="dxa"/>
            <w:gridSpan w:val="2"/>
            <w:tcBorders>
              <w:top w:val="single" w:color="auto" w:sz="4" w:space="0"/>
              <w:left w:val="single" w:color="auto" w:sz="4" w:space="0"/>
              <w:bottom w:val="single" w:color="auto" w:sz="4" w:space="0"/>
            </w:tcBorders>
            <w:noWrap w:val="0"/>
            <w:vAlign w:val="center"/>
          </w:tcPr>
          <w:p w14:paraId="543D223F">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r>
      <w:tr w14:paraId="232E00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889" w:type="dxa"/>
            <w:tcBorders>
              <w:top w:val="single" w:color="auto" w:sz="4" w:space="0"/>
              <w:bottom w:val="single" w:color="auto" w:sz="4" w:space="0"/>
            </w:tcBorders>
            <w:noWrap w:val="0"/>
            <w:vAlign w:val="center"/>
          </w:tcPr>
          <w:p w14:paraId="5C0C49FA">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404" w:type="dxa"/>
            <w:tcBorders>
              <w:top w:val="single" w:color="auto" w:sz="4" w:space="0"/>
              <w:bottom w:val="single" w:color="auto" w:sz="4" w:space="0"/>
            </w:tcBorders>
            <w:noWrap w:val="0"/>
            <w:vAlign w:val="center"/>
          </w:tcPr>
          <w:p w14:paraId="32ADFEA5">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973" w:type="dxa"/>
            <w:tcBorders>
              <w:top w:val="single" w:color="auto" w:sz="4" w:space="0"/>
              <w:bottom w:val="single" w:color="auto" w:sz="4" w:space="0"/>
            </w:tcBorders>
            <w:noWrap w:val="0"/>
            <w:vAlign w:val="center"/>
          </w:tcPr>
          <w:p w14:paraId="63DC7D27">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60" w:type="dxa"/>
            <w:tcBorders>
              <w:top w:val="single" w:color="auto" w:sz="4" w:space="0"/>
              <w:bottom w:val="single" w:color="auto" w:sz="4" w:space="0"/>
            </w:tcBorders>
            <w:noWrap w:val="0"/>
            <w:vAlign w:val="center"/>
          </w:tcPr>
          <w:p w14:paraId="28E4EFDC">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626" w:type="dxa"/>
            <w:tcBorders>
              <w:top w:val="single" w:color="auto" w:sz="4" w:space="0"/>
              <w:bottom w:val="single" w:color="auto" w:sz="4" w:space="0"/>
              <w:right w:val="single" w:color="auto" w:sz="4" w:space="0"/>
            </w:tcBorders>
            <w:noWrap w:val="0"/>
            <w:vAlign w:val="center"/>
          </w:tcPr>
          <w:p w14:paraId="34F24225">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82" w:type="dxa"/>
            <w:gridSpan w:val="2"/>
            <w:tcBorders>
              <w:top w:val="single" w:color="auto" w:sz="4" w:space="0"/>
              <w:left w:val="single" w:color="auto" w:sz="4" w:space="0"/>
              <w:bottom w:val="single" w:color="auto" w:sz="4" w:space="0"/>
            </w:tcBorders>
            <w:noWrap w:val="0"/>
            <w:vAlign w:val="center"/>
          </w:tcPr>
          <w:p w14:paraId="5A23643F">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r>
      <w:tr w14:paraId="6E469C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889" w:type="dxa"/>
            <w:tcBorders>
              <w:top w:val="single" w:color="auto" w:sz="4" w:space="0"/>
            </w:tcBorders>
            <w:noWrap w:val="0"/>
            <w:vAlign w:val="center"/>
          </w:tcPr>
          <w:p w14:paraId="290AA697">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404" w:type="dxa"/>
            <w:tcBorders>
              <w:top w:val="single" w:color="auto" w:sz="4" w:space="0"/>
            </w:tcBorders>
            <w:noWrap w:val="0"/>
            <w:vAlign w:val="center"/>
          </w:tcPr>
          <w:p w14:paraId="72501C2A">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973" w:type="dxa"/>
            <w:tcBorders>
              <w:top w:val="single" w:color="auto" w:sz="4" w:space="0"/>
            </w:tcBorders>
            <w:noWrap w:val="0"/>
            <w:vAlign w:val="center"/>
          </w:tcPr>
          <w:p w14:paraId="621C5F48">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60" w:type="dxa"/>
            <w:tcBorders>
              <w:top w:val="single" w:color="auto" w:sz="4" w:space="0"/>
            </w:tcBorders>
            <w:noWrap w:val="0"/>
            <w:vAlign w:val="center"/>
          </w:tcPr>
          <w:p w14:paraId="28DEFEC8">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626" w:type="dxa"/>
            <w:tcBorders>
              <w:top w:val="single" w:color="auto" w:sz="4" w:space="0"/>
              <w:right w:val="single" w:color="auto" w:sz="4" w:space="0"/>
            </w:tcBorders>
            <w:noWrap w:val="0"/>
            <w:vAlign w:val="center"/>
          </w:tcPr>
          <w:p w14:paraId="5ED04ADA">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c>
          <w:tcPr>
            <w:tcW w:w="1182" w:type="dxa"/>
            <w:gridSpan w:val="2"/>
            <w:tcBorders>
              <w:top w:val="single" w:color="auto" w:sz="4" w:space="0"/>
              <w:left w:val="single" w:color="auto" w:sz="4" w:space="0"/>
            </w:tcBorders>
            <w:noWrap w:val="0"/>
            <w:vAlign w:val="center"/>
          </w:tcPr>
          <w:p w14:paraId="1F8932CA">
            <w:pPr>
              <w:keepNext w:val="0"/>
              <w:keepLines w:val="0"/>
              <w:suppressLineNumbers w:val="0"/>
              <w:spacing w:before="0" w:beforeAutospacing="0" w:after="0" w:afterAutospacing="0" w:line="360" w:lineRule="auto"/>
              <w:ind w:left="0" w:right="0" w:firstLine="315" w:firstLineChars="150"/>
              <w:jc w:val="left"/>
              <w:rPr>
                <w:rFonts w:hint="eastAsia" w:ascii="宋体" w:hAnsi="宋体" w:cs="宋体"/>
                <w:color w:val="auto"/>
                <w:highlight w:val="none"/>
              </w:rPr>
            </w:pPr>
          </w:p>
        </w:tc>
      </w:tr>
    </w:tbl>
    <w:p w14:paraId="62815655">
      <w:pPr>
        <w:tabs>
          <w:tab w:val="left" w:pos="555"/>
          <w:tab w:val="left" w:pos="2214"/>
          <w:tab w:val="left" w:pos="3774"/>
          <w:tab w:val="left" w:pos="4854"/>
          <w:tab w:val="left" w:pos="5934"/>
          <w:tab w:val="left" w:pos="7014"/>
          <w:tab w:val="left" w:pos="8214"/>
          <w:tab w:val="left" w:pos="10134"/>
          <w:tab w:val="left" w:pos="11124"/>
        </w:tabs>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注：供应商（仅限于供应商自己的）以上业绩需按要求提供有关书面证明材料。</w:t>
      </w:r>
    </w:p>
    <w:p w14:paraId="72324D16">
      <w:pPr>
        <w:adjustRightInd w:val="0"/>
        <w:spacing w:line="360" w:lineRule="auto"/>
        <w:ind w:firstLine="360" w:firstLineChars="150"/>
        <w:jc w:val="left"/>
        <w:rPr>
          <w:rFonts w:hint="eastAsia" w:ascii="宋体" w:hAnsi="宋体" w:cs="宋体"/>
          <w:color w:val="auto"/>
          <w:sz w:val="24"/>
          <w:highlight w:val="none"/>
        </w:rPr>
      </w:pPr>
    </w:p>
    <w:p w14:paraId="0D71F3B9">
      <w:pPr>
        <w:adjustRightIn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供应商名称：XXX（盖单位公章）</w:t>
      </w:r>
    </w:p>
    <w:p w14:paraId="322EB27C">
      <w:pPr>
        <w:adjustRightIn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日期：XXX年XXX月XXX日</w:t>
      </w:r>
    </w:p>
    <w:p w14:paraId="0C4564FB">
      <w:pPr>
        <w:spacing w:line="360" w:lineRule="auto"/>
        <w:jc w:val="center"/>
        <w:rPr>
          <w:rFonts w:hint="eastAsia" w:ascii="宋体" w:hAnsi="宋体" w:eastAsia="宋体" w:cs="宋体"/>
          <w:b/>
          <w:bCs/>
          <w:color w:val="auto"/>
          <w:kern w:val="2"/>
          <w:sz w:val="34"/>
          <w:szCs w:val="20"/>
          <w:highlight w:val="none"/>
          <w:lang w:val="en-US" w:eastAsia="zh-CN" w:bidi="ar-SA"/>
        </w:rPr>
      </w:pPr>
      <w:r>
        <w:rPr>
          <w:rFonts w:hint="eastAsia" w:ascii="宋体" w:hAnsi="宋体" w:cs="宋体"/>
          <w:color w:val="auto"/>
          <w:sz w:val="24"/>
          <w:highlight w:val="none"/>
        </w:rPr>
        <w:br w:type="page"/>
      </w:r>
      <w:r>
        <w:rPr>
          <w:rFonts w:hint="eastAsia" w:ascii="宋体" w:hAnsi="宋体" w:eastAsia="宋体" w:cs="宋体"/>
          <w:b/>
          <w:bCs/>
          <w:color w:val="auto"/>
          <w:kern w:val="2"/>
          <w:sz w:val="34"/>
          <w:szCs w:val="20"/>
          <w:highlight w:val="none"/>
          <w:lang w:val="en-US" w:eastAsia="zh-CN" w:bidi="ar-SA"/>
        </w:rPr>
        <w:t>十四、供应商诚信情况承诺函</w:t>
      </w:r>
    </w:p>
    <w:p w14:paraId="31B7E9B8">
      <w:pPr>
        <w:spacing w:line="360" w:lineRule="auto"/>
        <w:rPr>
          <w:rFonts w:ascii="仿宋" w:hAnsi="仿宋" w:eastAsia="仿宋"/>
          <w:color w:val="auto"/>
          <w:sz w:val="24"/>
          <w:szCs w:val="24"/>
        </w:rPr>
      </w:pPr>
    </w:p>
    <w:p w14:paraId="291F56C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highlight w:val="none"/>
          <w:lang w:val="en-US" w:eastAsia="zh-CN"/>
        </w:rPr>
        <w:t>四川信息职业技术学院</w:t>
      </w:r>
      <w:r>
        <w:rPr>
          <w:rFonts w:hint="eastAsia" w:ascii="宋体" w:hAnsi="宋体" w:eastAsia="宋体" w:cs="宋体"/>
          <w:color w:val="auto"/>
          <w:sz w:val="24"/>
          <w:szCs w:val="24"/>
        </w:rPr>
        <w:t>：</w:t>
      </w:r>
    </w:p>
    <w:p w14:paraId="7F2E52B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w:t>
      </w:r>
      <w:r>
        <w:rPr>
          <w:rFonts w:hint="eastAsia" w:ascii="宋体" w:hAnsi="宋体" w:eastAsia="宋体" w:cs="宋体"/>
          <w:color w:val="auto"/>
          <w:sz w:val="24"/>
          <w:szCs w:val="24"/>
          <w:u w:val="single"/>
        </w:rPr>
        <w:t>XXXX（供应商名称）</w:t>
      </w:r>
      <w:r>
        <w:rPr>
          <w:rFonts w:hint="eastAsia" w:ascii="宋体" w:hAnsi="宋体" w:eastAsia="宋体" w:cs="宋体"/>
          <w:color w:val="auto"/>
          <w:sz w:val="24"/>
          <w:szCs w:val="24"/>
        </w:rPr>
        <w:t>参加</w:t>
      </w:r>
      <w:r>
        <w:rPr>
          <w:rFonts w:hint="eastAsia" w:ascii="宋体" w:hAnsi="宋体" w:eastAsia="宋体" w:cs="宋体"/>
          <w:color w:val="auto"/>
          <w:sz w:val="24"/>
          <w:szCs w:val="24"/>
          <w:u w:val="single"/>
        </w:rPr>
        <w:t>XXXX（项目名称及采购编号）</w:t>
      </w:r>
      <w:r>
        <w:rPr>
          <w:rFonts w:hint="eastAsia" w:ascii="宋体" w:hAnsi="宋体" w:eastAsia="宋体" w:cs="宋体"/>
          <w:color w:val="auto"/>
          <w:sz w:val="24"/>
          <w:szCs w:val="24"/>
        </w:rPr>
        <w:t>的政府采购活动，现根据《四川省政府采购当事人诚信管理办法》（川财采[2015]33号）的相关规定，针对本单位的诚信情况作出以下承诺：</w:t>
      </w:r>
    </w:p>
    <w:p w14:paraId="31A2589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具有《四川省公共资源交易领域严重失信联合惩戒实施办法》（川发改信用规〔2019〕405号）、《关于对政府采购领域严重违法失信主体开展联合惩戒的合作备忘录》（发改财金〔2018〕1614号）等规定的失信行为</w:t>
      </w:r>
      <w:r>
        <w:rPr>
          <w:rFonts w:hint="eastAsia" w:ascii="宋体" w:hAnsi="宋体" w:eastAsia="宋体" w:cs="宋体"/>
          <w:color w:val="auto"/>
          <w:sz w:val="24"/>
          <w:szCs w:val="24"/>
          <w:u w:val="single"/>
        </w:rPr>
        <w:t>XXXX</w:t>
      </w:r>
      <w:r>
        <w:rPr>
          <w:rFonts w:hint="eastAsia" w:ascii="宋体" w:hAnsi="宋体" w:eastAsia="宋体" w:cs="宋体"/>
          <w:color w:val="auto"/>
          <w:sz w:val="24"/>
          <w:szCs w:val="24"/>
        </w:rPr>
        <w:t>次（填写失信行为的次数时，建议使用大写数字，如零、壹、贰、叁、肆等。）；（仅限递交响应文件截止当日仍在有效期的次数）</w:t>
      </w:r>
    </w:p>
    <w:p w14:paraId="124EF8E8">
      <w:pPr>
        <w:spacing w:line="360" w:lineRule="auto"/>
        <w:ind w:firstLine="480" w:firstLineChars="200"/>
        <w:rPr>
          <w:rFonts w:hint="eastAsia" w:ascii="宋体" w:hAnsi="宋体" w:eastAsia="宋体" w:cs="宋体"/>
          <w:color w:val="auto"/>
          <w:sz w:val="24"/>
          <w:szCs w:val="24"/>
        </w:rPr>
      </w:pPr>
    </w:p>
    <w:p w14:paraId="41CF4F1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我单位对以上填写信息的真实性负责。如有不实，本单位愿承担由此产生的一切法律责任和后果。</w:t>
      </w:r>
    </w:p>
    <w:p w14:paraId="16EE0E61">
      <w:pPr>
        <w:spacing w:line="360" w:lineRule="auto"/>
        <w:rPr>
          <w:rFonts w:hint="eastAsia" w:ascii="宋体" w:hAnsi="宋体" w:eastAsia="宋体" w:cs="宋体"/>
          <w:color w:val="auto"/>
          <w:sz w:val="24"/>
          <w:szCs w:val="24"/>
        </w:rPr>
      </w:pPr>
    </w:p>
    <w:p w14:paraId="74A3959B">
      <w:pPr>
        <w:widowControl/>
        <w:spacing w:line="360" w:lineRule="auto"/>
        <w:ind w:firstLine="470" w:firstLineChars="196"/>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供应商名称：XXXX（单位盖章）。</w:t>
      </w:r>
    </w:p>
    <w:p w14:paraId="0AA2CAC6">
      <w:pPr>
        <w:widowControl/>
        <w:spacing w:line="360" w:lineRule="auto"/>
        <w:ind w:firstLine="470" w:firstLineChars="196"/>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递交响应文件截止日期: XXXX。</w:t>
      </w:r>
    </w:p>
    <w:p w14:paraId="63DF211E">
      <w:pPr>
        <w:spacing w:line="360" w:lineRule="auto"/>
        <w:rPr>
          <w:rFonts w:ascii="仿宋" w:hAnsi="仿宋" w:eastAsia="仿宋"/>
          <w:color w:val="auto"/>
          <w:sz w:val="24"/>
          <w:szCs w:val="24"/>
        </w:rPr>
      </w:pPr>
    </w:p>
    <w:p w14:paraId="65991734">
      <w:pPr>
        <w:spacing w:line="360" w:lineRule="auto"/>
        <w:rPr>
          <w:rFonts w:ascii="仿宋" w:hAnsi="仿宋" w:eastAsia="仿宋"/>
          <w:color w:val="auto"/>
          <w:sz w:val="24"/>
          <w:szCs w:val="24"/>
        </w:rPr>
      </w:pPr>
    </w:p>
    <w:p w14:paraId="26E4AEFB">
      <w:pPr>
        <w:spacing w:line="360" w:lineRule="auto"/>
        <w:rPr>
          <w:rFonts w:ascii="仿宋" w:hAnsi="仿宋" w:eastAsia="仿宋"/>
          <w:color w:val="auto"/>
          <w:sz w:val="24"/>
          <w:szCs w:val="24"/>
        </w:rPr>
      </w:pPr>
      <w:r>
        <w:rPr>
          <w:rFonts w:hint="eastAsia" w:ascii="仿宋" w:hAnsi="仿宋" w:eastAsia="仿宋" w:cs="仿宋"/>
          <w:color w:val="auto"/>
          <w:sz w:val="24"/>
          <w:szCs w:val="24"/>
        </w:rPr>
        <w:t>注：</w:t>
      </w:r>
    </w:p>
    <w:p w14:paraId="35F32EF3">
      <w:pPr>
        <w:spacing w:line="360" w:lineRule="auto"/>
        <w:rPr>
          <w:rFonts w:ascii="仿宋" w:hAnsi="仿宋" w:eastAsia="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、本表格式及内容仅供参考，供应商也可提供自己的格式；</w:t>
      </w:r>
    </w:p>
    <w:p w14:paraId="4E13049C">
      <w:pPr>
        <w:adjustRightInd w:val="0"/>
        <w:spacing w:line="360" w:lineRule="auto"/>
        <w:ind w:firstLine="360" w:firstLineChars="150"/>
        <w:jc w:val="center"/>
        <w:rPr>
          <w:rFonts w:hint="eastAsia" w:ascii="仿宋" w:hAnsi="仿宋" w:eastAsia="仿宋" w:cs="仿宋"/>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rPr>
        <w:t>、供应商存在以上所述失信行为的，将按照第二章磋商须知附表的要求进行处理</w:t>
      </w:r>
    </w:p>
    <w:p w14:paraId="2F1C4904">
      <w:pPr>
        <w:widowControl/>
        <w:adjustRightInd w:val="0"/>
        <w:snapToGrid w:val="0"/>
        <w:spacing w:line="360" w:lineRule="auto"/>
        <w:jc w:val="center"/>
        <w:outlineLvl w:val="0"/>
        <w:rPr>
          <w:rFonts w:hint="eastAsia" w:ascii="宋体" w:hAnsi="宋体" w:cs="宋体"/>
          <w:color w:val="auto"/>
          <w:sz w:val="32"/>
          <w:szCs w:val="32"/>
          <w:highlight w:val="none"/>
        </w:rPr>
      </w:pPr>
      <w:r>
        <w:rPr>
          <w:rFonts w:hint="eastAsia" w:ascii="仿宋" w:hAnsi="仿宋" w:eastAsia="仿宋" w:cs="仿宋"/>
          <w:color w:val="FF0000"/>
          <w:sz w:val="24"/>
          <w:szCs w:val="24"/>
        </w:rPr>
        <w:br w:type="page"/>
      </w:r>
      <w:bookmarkEnd w:id="97"/>
      <w:bookmarkStart w:id="106" w:name="_Toc16351"/>
      <w:r>
        <w:rPr>
          <w:rFonts w:hint="eastAsia" w:ascii="宋体" w:hAnsi="宋体" w:cs="宋体"/>
          <w:b/>
          <w:color w:val="auto"/>
          <w:sz w:val="32"/>
          <w:szCs w:val="32"/>
          <w:highlight w:val="none"/>
        </w:rPr>
        <w:t>第九章  评审方法</w:t>
      </w:r>
      <w:bookmarkEnd w:id="98"/>
      <w:bookmarkEnd w:id="99"/>
      <w:bookmarkEnd w:id="100"/>
      <w:bookmarkEnd w:id="101"/>
      <w:bookmarkEnd w:id="102"/>
      <w:bookmarkEnd w:id="103"/>
      <w:bookmarkEnd w:id="104"/>
      <w:bookmarkEnd w:id="105"/>
      <w:bookmarkEnd w:id="106"/>
    </w:p>
    <w:p w14:paraId="6A8A6F29">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1.总则</w:t>
      </w:r>
    </w:p>
    <w:p w14:paraId="7B9E1F51">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1.1根据《中华人民共和国政府采购法》、《中华人民共和国政府采购法实施条例》、《政府采购竞争性磋商采购方式管理暂行办法》等法律制度，结合本采购项目特点制定本磋商方法。</w:t>
      </w:r>
    </w:p>
    <w:p w14:paraId="4F866262">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1.2磋商工作由采购人/采购代理机构负责组织，具体磋商由采购人/采购代理机构依法组建的磋商小组负责。</w:t>
      </w:r>
    </w:p>
    <w:p w14:paraId="62A850EB">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1.3磋商工作应遵循公平、公正、科学及择优的原则，并以相同的磋商程序和标准对待所有的供应商。</w:t>
      </w:r>
    </w:p>
    <w:p w14:paraId="3C09312C">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1.4磋商小组按照磋商文件规定的磋商程序、评分方法和标准进行评审，并独立履行下列职责：</w:t>
      </w:r>
    </w:p>
    <w:p w14:paraId="0CB43BE5">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（一）熟悉和理解磋商文件，确定磋商文件内容是否违反国家有关强制性规定或者磋商文件存在歧义、重大缺陷，根据需要书面要求采购人、采购代理机构对磋商文件作出解释；</w:t>
      </w:r>
    </w:p>
    <w:p w14:paraId="34B7BFAF">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（二）审查供应商响应文件是否满足磋商文件要求，并作出公正评价；</w:t>
      </w:r>
    </w:p>
    <w:p w14:paraId="6D9A0E0B">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（三）根据需要要求供应商对响应文件中含义不明确、同类问题表述不一致或者有明显文字和计算错误的内容等作出必要的澄清、说明或者更正；</w:t>
      </w:r>
    </w:p>
    <w:p w14:paraId="147C4AA0">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（四）推荐成交供应商，或者受采购人委托确定成交供应商；</w:t>
      </w:r>
    </w:p>
    <w:p w14:paraId="25C9B0CB">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（五）起草评审报告并进行签署；</w:t>
      </w:r>
    </w:p>
    <w:p w14:paraId="4EB47CA7">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（六）向采购人/采购代理机构、财政部门或者其他监督部门报告非法干预评审工作的行为；</w:t>
      </w:r>
    </w:p>
    <w:p w14:paraId="31787E09">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（七）法律、法规和规章规定的其他职责。</w:t>
      </w:r>
    </w:p>
    <w:p w14:paraId="5191106D">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1.5 （实质性要求）磋商过程独立、保密。供应商非法干预磋商过程的，其响应文件作无效处理。</w:t>
      </w:r>
    </w:p>
    <w:p w14:paraId="2F7DD413">
      <w:pPr>
        <w:keepNext w:val="0"/>
        <w:keepLines w:val="0"/>
        <w:pageBreakBefore w:val="0"/>
        <w:kinsoku/>
        <w:overflowPunct/>
        <w:topLinePunct w:val="0"/>
        <w:bidi w:val="0"/>
        <w:ind w:firstLine="413"/>
        <w:textAlignment w:val="auto"/>
        <w:outlineLvl w:val="9"/>
        <w:rPr>
          <w:rFonts w:hint="eastAsia"/>
          <w:b w:val="0"/>
          <w:bCs w:val="0"/>
          <w:color w:val="auto"/>
          <w:highlight w:val="none"/>
        </w:rPr>
      </w:pPr>
    </w:p>
    <w:p w14:paraId="77B8E4DE">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2.磋商程序</w:t>
      </w:r>
    </w:p>
    <w:p w14:paraId="3CF926EA">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2.1审查磋商文件和停止评审。</w:t>
      </w:r>
    </w:p>
    <w:p w14:paraId="02B689CE">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2.1.1 磋商小组正式评审前，应当对磋商文件进行熟悉和理解，内容主要包括磋商文件中供应商资格条件要求、采购项目技术、服务和商务要求、磋商办法和标准、政府采购政策要求以及政府采购合同主要条款等。</w:t>
      </w:r>
    </w:p>
    <w:p w14:paraId="1AC66830">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2.1.2 本磋商文件有下列情形之一的，磋商小组应当停止评审：</w:t>
      </w:r>
    </w:p>
    <w:p w14:paraId="4F566EEC">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（1）磋商文件的规定存在歧义、重大缺陷的；</w:t>
      </w:r>
    </w:p>
    <w:p w14:paraId="3CA3DB05">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（2）磋商文件明显以不合理条件对供应商实行差别待遇或者歧视待遇的；</w:t>
      </w:r>
    </w:p>
    <w:p w14:paraId="388D45F7">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（3）采购项目属于国家规定的优先、强制采购范围，但是磋商文件未依法体现优先、强制采购相关规定的；</w:t>
      </w:r>
    </w:p>
    <w:p w14:paraId="609703F9">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（4）采购项目属于政府采购促进中小企业发展的范围，但是磋商文件未依法体现促进中小企业发展相关规定的；</w:t>
      </w:r>
    </w:p>
    <w:p w14:paraId="2A5A7CCF">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（5）磋商文件将供应商的资格条件列为评分因素的；</w:t>
      </w:r>
    </w:p>
    <w:p w14:paraId="02A8BC76">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（6）磋商文件载明的成交原则不合法的；</w:t>
      </w:r>
    </w:p>
    <w:p w14:paraId="157D1555">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（7）磋商文件有违反国家其他有关强制性规定的情形。</w:t>
      </w:r>
    </w:p>
    <w:p w14:paraId="63D57F6E">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2.1.3出现本条2.1.2规定应当停止评审情形的，磋商小组应当向采购人书面说明情况。除本条规定的情形外，磋商小组不得以任何方式和理由停止评审。</w:t>
      </w:r>
    </w:p>
    <w:p w14:paraId="2E38A4A9">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2.2资格性审查。</w:t>
      </w:r>
    </w:p>
    <w:p w14:paraId="08EBAF9A">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2.2.1本项目需要磋商小组进行资格性检查。</w:t>
      </w:r>
    </w:p>
    <w:p w14:paraId="0D034D2C">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磋商小组应依据法律法规和磋商文件的规定，对响应文件是否按照规定要求提供资格性证明材料、是否属于禁止参加磋商的供应商等进行审查，以确定供应商是否具备磋商资格。</w:t>
      </w:r>
    </w:p>
    <w:p w14:paraId="2BD2D3CC">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2.2.2资格性审查结束后，磋商小组应当出具资格性审查报告，没有通过资格审查的供应商，磋商小组应当在资格审查报告中说明原因。</w:t>
      </w:r>
    </w:p>
    <w:p w14:paraId="51F77630">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2.2.3磋商小组应依据磋商文件规定的实质性要求，对符合资格的响应文件进行有效性、完整性和响应程度审查，以确定参加磋商的供应商名单。</w:t>
      </w:r>
    </w:p>
    <w:p w14:paraId="3539C62A">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2.2.4采购人或者采购代理机构宣布未通过资格性审查的供应商名单时，应当告知供应商未通过审查的原因。</w:t>
      </w:r>
    </w:p>
    <w:p w14:paraId="390F2904">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2.3通过资格性审查的供应商不足</w:t>
      </w:r>
      <w:r>
        <w:rPr>
          <w:rFonts w:hint="eastAsia" w:ascii="宋体" w:hAnsi="宋体" w:eastAsia="宋体"/>
          <w:b w:val="0"/>
          <w:bCs w:val="0"/>
          <w:color w:val="auto"/>
          <w:sz w:val="24"/>
          <w:szCs w:val="24"/>
          <w:highlight w:val="none"/>
          <w:lang w:val="en-US" w:eastAsia="zh-CN"/>
        </w:rPr>
        <w:t>3家</w:t>
      </w:r>
      <w:r>
        <w:rPr>
          <w:rFonts w:hint="eastAsia" w:ascii="宋体" w:hAnsi="宋体" w:eastAsia="宋体"/>
          <w:b w:val="0"/>
          <w:bCs w:val="0"/>
          <w:color w:val="auto"/>
          <w:sz w:val="24"/>
          <w:szCs w:val="24"/>
          <w:highlight w:val="none"/>
        </w:rPr>
        <w:t>的，终止本次采购活动，并发布终止采购活动公告。</w:t>
      </w:r>
    </w:p>
    <w:p w14:paraId="286C9DF2">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2.4磋商。</w:t>
      </w:r>
    </w:p>
    <w:p w14:paraId="5BD177E7">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55C4A6C5">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2.4.2每轮磋商开始前，磋商小组应根据磋商文件的规定，并结合各供应商的响应文件拟定磋商内容。</w:t>
      </w:r>
    </w:p>
    <w:p w14:paraId="678875C2">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2.4.3在磋商过程中，磋商小组可以根据磋商文件和磋商情况实质性变动磋商文件的技术、服务要求以及合同草案条款，但不得变动磋商文件中的其他内容。实质性变动的内容，须经采购人代表书面确认。</w:t>
      </w:r>
    </w:p>
    <w:p w14:paraId="214404E1">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2.4.4对磋商文件作出的实质性变动是磋商文件的有效组成部分，磋商小组应当及时以书面形式同时通知所有参加磋商的供应商。</w:t>
      </w:r>
    </w:p>
    <w:p w14:paraId="3D6A3BE7">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2.4.5磋商过程中，磋商文件变动的，供应商应当按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751EEF45">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2.4.6磋商过程中，磋商的任何一方不得透露与磋商有关的其他供应商的技术资料、价格和其他信息。</w:t>
      </w:r>
    </w:p>
    <w:p w14:paraId="591C07F6">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2.4.7磋商过程中，磋商小组发现或者知晓供应商存在违法、违纪行为的，磋商小组应当将该供应商响应文件作无效处理，不允许其提交最后报价。</w:t>
      </w:r>
    </w:p>
    <w:p w14:paraId="597188AD">
      <w:pPr>
        <w:keepNext w:val="0"/>
        <w:keepLines w:val="0"/>
        <w:pageBreakBefore w:val="0"/>
        <w:kinsoku/>
        <w:overflowPunct/>
        <w:topLinePunct w:val="0"/>
        <w:bidi w:val="0"/>
        <w:spacing w:before="0" w:after="0" w:line="400" w:lineRule="exact"/>
        <w:ind w:firstLine="470" w:firstLineChars="196"/>
        <w:textAlignment w:val="auto"/>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2.4.8磋商完成后，磋商小组应出具磋商情况记录表，磋商情况记录表需包含磋商内容、磋商意见、实质性变动内容等。</w:t>
      </w:r>
    </w:p>
    <w:p w14:paraId="708B866A">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2.5最后报价。</w:t>
      </w:r>
    </w:p>
    <w:p w14:paraId="775F84FC">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2.5.1磋商文件能够详细列明采购标的的技术、服务要求的，磋商结束后，磋商小组应当要求所有实质性响应的供应商在规定时间内提交最后报价，提交最后报价的供应商不得少于</w:t>
      </w:r>
      <w:r>
        <w:rPr>
          <w:rFonts w:hint="eastAsia" w:ascii="宋体" w:hAnsi="宋体"/>
          <w:color w:val="auto"/>
          <w:sz w:val="24"/>
          <w:highlight w:val="none"/>
          <w:lang w:val="en-US" w:eastAsia="zh-CN"/>
        </w:rPr>
        <w:t>3</w:t>
      </w:r>
      <w:r>
        <w:rPr>
          <w:rFonts w:hint="eastAsia" w:ascii="宋体" w:hAnsi="宋体"/>
          <w:color w:val="auto"/>
          <w:sz w:val="24"/>
          <w:highlight w:val="none"/>
        </w:rPr>
        <w:t>家。或磋商文件不能详细列明采购标的的技术、服务要求，需经磋商由供应商提供最终设计方案或解决方案的，磋商结束后，磋商小组应当按照少数服从多数的原则投票推荐</w:t>
      </w:r>
      <w:r>
        <w:rPr>
          <w:rFonts w:hint="eastAsia" w:ascii="宋体" w:hAnsi="宋体"/>
          <w:color w:val="auto"/>
          <w:sz w:val="24"/>
          <w:highlight w:val="none"/>
          <w:lang w:val="en-US" w:eastAsia="zh-CN"/>
        </w:rPr>
        <w:t>3</w:t>
      </w:r>
      <w:r>
        <w:rPr>
          <w:rFonts w:hint="eastAsia" w:ascii="宋体" w:hAnsi="宋体"/>
          <w:color w:val="auto"/>
          <w:sz w:val="24"/>
          <w:highlight w:val="none"/>
        </w:rPr>
        <w:t>家以上供应商的设计方案或者解决方案，并要求其在规定时间内提交最后报价。</w:t>
      </w:r>
    </w:p>
    <w:p w14:paraId="52B4387E">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2.5.2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14:paraId="2DEC185C">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2.5.3供应商最后报价应当由法定代表人/主要负责人/本人或其授权代表签字确认或加盖公章。最后报价是供应商响应文件的有效组成部分。</w:t>
      </w:r>
    </w:p>
    <w:p w14:paraId="4739ED9E">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741DA613">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2.6比较与评价。由磋商小组采用综合评分法对提交最后报价的供应商的响应文件和最后报价进行综合评分，具体要求详见本章综合评分部分。</w:t>
      </w:r>
    </w:p>
    <w:p w14:paraId="4CA1A32A">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2.7推荐成交候选供应商。磋商小组应当根据综合评分情况，按照评审得分由高到低顺序推荐3家以上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p>
    <w:p w14:paraId="30DF9AEA">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2.8磋商小组复核。磋商小组评分汇总结束后，磋商小组应当进行评审复核，对拟推荐为成交候选供应商的、报价最低的、供应商资格审查未通过的、供应商响应文件作无效处理的重点复核。</w:t>
      </w:r>
    </w:p>
    <w:p w14:paraId="3287EAD1">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2.9采购组织单位现场复核评审结果。</w:t>
      </w:r>
    </w:p>
    <w:p w14:paraId="09E1BA1B">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2.9.1评审结果汇总完成后，磋商小组拟出具磋商评审报告前，采购人/采购代理机构应当组织2名以上的本单位工作人员，在采购现场监督人员的监督之下，依据有关的法律制度和磋商文件对评审结果进行复核，出具复核报告，存在下列情形之一的，采购人/采购代理机构应当根据情况书面建议磋商小组现场修改评审结果：</w:t>
      </w:r>
    </w:p>
    <w:p w14:paraId="210D667E">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（1）资格性审查认定错误的；</w:t>
      </w:r>
    </w:p>
    <w:p w14:paraId="43D32C94">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（2）分值汇总计算错误的；</w:t>
      </w:r>
    </w:p>
    <w:p w14:paraId="6F0EF7A7">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（3）分项评分超出评分标准范围的；</w:t>
      </w:r>
    </w:p>
    <w:p w14:paraId="0F5C35A3">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（4）客观评分不一致的。</w:t>
      </w:r>
    </w:p>
    <w:p w14:paraId="288BA1E4">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存在本条上述情形的，由磋商小组自主决定是否采纳采购人/采购代理机构的书面建议，并承担独立评审责任。磋商小组采纳采购人/采购代理机构书面建议的，应当按照规定现场修改评审结果或者重新评审，并在磋商报告中详细记载有关事宜；不采纳采购人/采购代理机构书面建议的，应当书面说明理由。采购人/采购代理机构书面建议未被磋商小组采纳的，应当接照规定程序要求继续组织实施采购活动，不得擅自中止采购活动。采购人/采购代理机构认为磋商小组评审结果不合法的，应当书面报告采购项目同级财政部门。</w:t>
      </w:r>
    </w:p>
    <w:p w14:paraId="33ECE676">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采购人/采购代理机构复核过程中，磋商小组成员不得离开评审现场。</w:t>
      </w:r>
    </w:p>
    <w:p w14:paraId="4060A05F">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2.9.2有下列情形之一的，不得现场修改评审结果：</w:t>
      </w:r>
    </w:p>
    <w:p w14:paraId="091F86B1">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（1）磋商小组已经出具磋商报告并且离开评审现场的；</w:t>
      </w:r>
    </w:p>
    <w:p w14:paraId="3152F435">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（2）采购人/采购代理机构现场复核时，复核工作人员数量不足的；</w:t>
      </w:r>
    </w:p>
    <w:p w14:paraId="422DBE4B">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（3）采购人/采购代理机构现场复核时，没有采购监督人员现场监督的；</w:t>
      </w:r>
    </w:p>
    <w:p w14:paraId="6D808D7A">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（4）采购人/采购代理机构现场复核内容超出规定范围的；</w:t>
      </w:r>
    </w:p>
    <w:p w14:paraId="3957D7D0">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（5）采购人/采购代理机构未提供书面建议的。</w:t>
      </w:r>
    </w:p>
    <w:p w14:paraId="0D576B16">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2.10编写磋商报告。磋商小组推荐成交候选供应商后，应向采购人/采购代理机构出具磋商报告。磋商报告应当包括以下主要内容：</w:t>
      </w:r>
    </w:p>
    <w:p w14:paraId="05DC47C7">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（1）邀请供应商参加采购活动的具体方式和相关情况；</w:t>
      </w:r>
    </w:p>
    <w:p w14:paraId="29C48AA9">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（2）响应文件开启日期和地点；</w:t>
      </w:r>
    </w:p>
    <w:p w14:paraId="610F3041">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（3）获取磋商文件的供应商名单和磋商小组成员名单；</w:t>
      </w:r>
    </w:p>
    <w:p w14:paraId="2C4DD4F6">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（4）评审情况记录和说明，包括对供应商的资格审查情况、供应商响应文件审查情况、磋商情况、报价情况等；</w:t>
      </w:r>
    </w:p>
    <w:p w14:paraId="051D2870">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（5）提出的成交候选供应商的排序名单及理由。</w:t>
      </w:r>
    </w:p>
    <w:p w14:paraId="769D5AB9">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0980BEEE">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371F3C3A">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2.12供应商澄清、说明</w:t>
      </w:r>
    </w:p>
    <w:p w14:paraId="6BEFF695">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FE7B501">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2.12.2磋商小组要求供应商澄清、说明或者更正响应文件应当以书面形式作出。供应商的澄清、说明或者更正应当由法定代表人/主要负责人/本人或其授权代表签字或者加盖公章。</w:t>
      </w:r>
    </w:p>
    <w:p w14:paraId="6C927FD4">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2.13终止磋商采购活动。</w:t>
      </w:r>
    </w:p>
    <w:p w14:paraId="743006E3">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出现下列情形之一的，采购人或者采购代理机构应当终止竞争性磋商采购活动，发布项目终止公告并说明原因，重新开展采购活动：</w:t>
      </w:r>
    </w:p>
    <w:p w14:paraId="2D92D439">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（1）因情况变化，不再符合规定的竞争性磋商采购方式适用情形的；</w:t>
      </w:r>
    </w:p>
    <w:p w14:paraId="698610CB">
      <w:pPr>
        <w:keepNext w:val="0"/>
        <w:keepLines w:val="0"/>
        <w:pageBreakBefore w:val="0"/>
        <w:kinsoku/>
        <w:overflowPunct/>
        <w:topLinePunct w:val="0"/>
        <w:bidi w:val="0"/>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（2）出现影响采购公正的违法、违规行为的；</w:t>
      </w:r>
    </w:p>
    <w:p w14:paraId="64FC0186">
      <w:pPr>
        <w:keepNext w:val="0"/>
        <w:keepLines w:val="0"/>
        <w:pageBreakBefore w:val="0"/>
        <w:kinsoku/>
        <w:overflowPunct/>
        <w:topLinePunct w:val="0"/>
        <w:bidi w:val="0"/>
        <w:spacing w:line="400" w:lineRule="exact"/>
        <w:ind w:firstLine="480" w:firstLineChars="200"/>
        <w:textAlignment w:val="auto"/>
        <w:outlineLvl w:val="9"/>
        <w:rPr>
          <w:rFonts w:hint="eastAsia" w:ascii="宋体"/>
          <w:color w:val="auto"/>
          <w:sz w:val="24"/>
          <w:highlight w:val="none"/>
        </w:rPr>
      </w:pPr>
      <w:r>
        <w:rPr>
          <w:rFonts w:hint="eastAsia" w:ascii="宋体" w:hAnsi="宋体"/>
          <w:color w:val="auto"/>
          <w:sz w:val="24"/>
          <w:highlight w:val="none"/>
        </w:rPr>
        <w:t>（3）在采购过程中符合要求的供应商或者报价未超过采购预算的供应商不足</w:t>
      </w:r>
      <w:r>
        <w:rPr>
          <w:rFonts w:hint="eastAsia" w:ascii="宋体" w:hAnsi="宋体"/>
          <w:color w:val="auto"/>
          <w:sz w:val="24"/>
          <w:highlight w:val="none"/>
          <w:lang w:val="en-US" w:eastAsia="zh-CN"/>
        </w:rPr>
        <w:t>3</w:t>
      </w:r>
      <w:r>
        <w:rPr>
          <w:rFonts w:hint="eastAsia" w:ascii="宋体" w:hAnsi="宋体"/>
          <w:color w:val="auto"/>
          <w:sz w:val="24"/>
          <w:highlight w:val="none"/>
        </w:rPr>
        <w:t>家的。</w:t>
      </w:r>
    </w:p>
    <w:p w14:paraId="1A91B255">
      <w:pPr>
        <w:keepNext w:val="0"/>
        <w:keepLines w:val="0"/>
        <w:pageBreakBefore w:val="0"/>
        <w:kinsoku/>
        <w:overflowPunct/>
        <w:topLinePunct w:val="0"/>
        <w:bidi w:val="0"/>
        <w:spacing w:line="400" w:lineRule="exact"/>
        <w:ind w:firstLine="482" w:firstLineChars="200"/>
        <w:textAlignment w:val="auto"/>
        <w:outlineLvl w:val="9"/>
        <w:rPr>
          <w:rFonts w:hint="eastAsia" w:ascii="宋体"/>
          <w:b/>
          <w:color w:val="auto"/>
          <w:sz w:val="24"/>
          <w:highlight w:val="none"/>
        </w:rPr>
      </w:pPr>
      <w:r>
        <w:rPr>
          <w:rFonts w:hint="eastAsia" w:ascii="宋体"/>
          <w:b/>
          <w:color w:val="auto"/>
          <w:sz w:val="24"/>
          <w:highlight w:val="none"/>
        </w:rPr>
        <w:t>3.综合评分</w:t>
      </w:r>
    </w:p>
    <w:p w14:paraId="277CE112">
      <w:pPr>
        <w:keepNext w:val="0"/>
        <w:keepLines w:val="0"/>
        <w:pageBreakBefore w:val="0"/>
        <w:kinsoku/>
        <w:overflowPunct/>
        <w:topLinePunct w:val="0"/>
        <w:bidi w:val="0"/>
        <w:spacing w:line="400" w:lineRule="exact"/>
        <w:ind w:firstLine="480" w:firstLineChars="200"/>
        <w:textAlignment w:val="auto"/>
        <w:outlineLvl w:val="9"/>
        <w:rPr>
          <w:rFonts w:hint="eastAsia"/>
          <w:color w:val="auto"/>
          <w:sz w:val="24"/>
          <w:highlight w:val="none"/>
        </w:rPr>
      </w:pPr>
      <w:r>
        <w:rPr>
          <w:rFonts w:hint="eastAsia" w:ascii="宋体"/>
          <w:color w:val="auto"/>
          <w:sz w:val="24"/>
          <w:highlight w:val="none"/>
        </w:rPr>
        <w:t>3.1</w:t>
      </w:r>
      <w:r>
        <w:rPr>
          <w:rFonts w:hint="eastAsia"/>
          <w:color w:val="auto"/>
          <w:sz w:val="24"/>
          <w:highlight w:val="none"/>
        </w:rPr>
        <w:t>本次综合评分的因素是：</w:t>
      </w:r>
      <w:r>
        <w:rPr>
          <w:rFonts w:hint="eastAsia" w:ascii="宋体" w:hAnsi="宋体" w:cs="宋体"/>
          <w:color w:val="auto"/>
          <w:sz w:val="24"/>
          <w:highlight w:val="none"/>
        </w:rPr>
        <w:t>详见综合评分明细表</w:t>
      </w:r>
      <w:r>
        <w:rPr>
          <w:rFonts w:hint="eastAsia"/>
          <w:color w:val="auto"/>
          <w:sz w:val="24"/>
          <w:highlight w:val="none"/>
        </w:rPr>
        <w:t>。</w:t>
      </w:r>
    </w:p>
    <w:p w14:paraId="1AD41EC4">
      <w:pPr>
        <w:pStyle w:val="13"/>
        <w:keepNext w:val="0"/>
        <w:keepLines w:val="0"/>
        <w:pageBreakBefore w:val="0"/>
        <w:tabs>
          <w:tab w:val="left" w:pos="600"/>
        </w:tabs>
        <w:kinsoku/>
        <w:overflowPunct/>
        <w:topLinePunct w:val="0"/>
        <w:bidi w:val="0"/>
        <w:spacing w:line="400" w:lineRule="exact"/>
        <w:ind w:firstLine="480" w:firstLineChars="200"/>
        <w:textAlignment w:val="auto"/>
        <w:outlineLvl w:val="9"/>
        <w:rPr>
          <w:rFonts w:hint="eastAsia" w:ascii="宋体"/>
          <w:color w:val="auto"/>
          <w:sz w:val="24"/>
          <w:szCs w:val="24"/>
          <w:highlight w:val="none"/>
        </w:rPr>
      </w:pPr>
      <w:r>
        <w:rPr>
          <w:rFonts w:hint="eastAsia" w:ascii="宋体"/>
          <w:color w:val="auto"/>
          <w:sz w:val="24"/>
          <w:szCs w:val="24"/>
          <w:highlight w:val="none"/>
        </w:rPr>
        <w:t>3.</w:t>
      </w:r>
      <w:r>
        <w:rPr>
          <w:rFonts w:hint="eastAsia" w:ascii="宋体"/>
          <w:color w:val="auto"/>
          <w:sz w:val="24"/>
          <w:szCs w:val="24"/>
          <w:highlight w:val="none"/>
          <w:lang w:val="en-US" w:eastAsia="zh-CN"/>
        </w:rPr>
        <w:t>2</w:t>
      </w:r>
      <w:r>
        <w:rPr>
          <w:rFonts w:hint="eastAsia" w:ascii="宋体"/>
          <w:color w:val="auto"/>
          <w:sz w:val="24"/>
          <w:szCs w:val="24"/>
          <w:highlight w:val="none"/>
        </w:rPr>
        <w:t>综合评分明细表</w:t>
      </w:r>
    </w:p>
    <w:p w14:paraId="4989E205">
      <w:pPr>
        <w:pStyle w:val="13"/>
        <w:keepNext w:val="0"/>
        <w:keepLines w:val="0"/>
        <w:pageBreakBefore w:val="0"/>
        <w:tabs>
          <w:tab w:val="left" w:pos="600"/>
        </w:tabs>
        <w:kinsoku/>
        <w:overflowPunct/>
        <w:topLinePunct w:val="0"/>
        <w:bidi w:val="0"/>
        <w:spacing w:line="400" w:lineRule="exact"/>
        <w:ind w:firstLine="480" w:firstLineChars="200"/>
        <w:textAlignment w:val="auto"/>
        <w:outlineLvl w:val="9"/>
        <w:rPr>
          <w:rFonts w:hint="eastAsia" w:ascii="宋体"/>
          <w:color w:val="auto"/>
          <w:sz w:val="24"/>
          <w:szCs w:val="24"/>
          <w:highlight w:val="none"/>
        </w:rPr>
      </w:pPr>
      <w:r>
        <w:rPr>
          <w:rFonts w:hint="eastAsia" w:ascii="宋体"/>
          <w:color w:val="auto"/>
          <w:sz w:val="24"/>
          <w:szCs w:val="24"/>
          <w:highlight w:val="none"/>
        </w:rPr>
        <w:t>3.</w:t>
      </w:r>
      <w:r>
        <w:rPr>
          <w:rFonts w:hint="eastAsia" w:ascii="宋体"/>
          <w:color w:val="auto"/>
          <w:sz w:val="24"/>
          <w:szCs w:val="24"/>
          <w:highlight w:val="none"/>
          <w:lang w:val="en-US" w:eastAsia="zh-CN"/>
        </w:rPr>
        <w:t>2</w:t>
      </w:r>
      <w:r>
        <w:rPr>
          <w:rFonts w:hint="eastAsia" w:ascii="宋体"/>
          <w:color w:val="auto"/>
          <w:sz w:val="24"/>
          <w:szCs w:val="24"/>
          <w:highlight w:val="none"/>
        </w:rPr>
        <w:t>.1综合评分明细表的制定以科学合理、降低评委会自由裁量权为原则。</w:t>
      </w:r>
    </w:p>
    <w:p w14:paraId="2C774122">
      <w:pPr>
        <w:keepNext w:val="0"/>
        <w:keepLines w:val="0"/>
        <w:pageBreakBefore w:val="0"/>
        <w:kinsoku/>
        <w:overflowPunct/>
        <w:topLinePunct w:val="0"/>
        <w:bidi w:val="0"/>
        <w:spacing w:before="0" w:after="0" w:line="400" w:lineRule="exact"/>
        <w:ind w:firstLine="472" w:firstLineChars="196"/>
        <w:textAlignment w:val="auto"/>
        <w:outlineLvl w:val="9"/>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3.</w:t>
      </w:r>
      <w:r>
        <w:rPr>
          <w:rFonts w:hint="eastAsia" w:ascii="宋体" w:hAnsi="宋体" w:eastAsia="宋体"/>
          <w:b/>
          <w:color w:val="auto"/>
          <w:sz w:val="24"/>
          <w:szCs w:val="24"/>
          <w:highlight w:val="none"/>
          <w:lang w:val="en-US" w:eastAsia="zh-CN"/>
        </w:rPr>
        <w:t>2</w:t>
      </w:r>
      <w:r>
        <w:rPr>
          <w:rFonts w:hint="eastAsia" w:ascii="宋体" w:hAnsi="宋体" w:eastAsia="宋体"/>
          <w:b/>
          <w:color w:val="auto"/>
          <w:sz w:val="24"/>
          <w:szCs w:val="24"/>
          <w:highlight w:val="none"/>
        </w:rPr>
        <w:t>.2综合评分明细表</w:t>
      </w:r>
    </w:p>
    <w:tbl>
      <w:tblPr>
        <w:tblStyle w:val="32"/>
        <w:tblW w:w="87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4"/>
        <w:gridCol w:w="1441"/>
        <w:gridCol w:w="3969"/>
        <w:gridCol w:w="1846"/>
      </w:tblGrid>
      <w:tr w14:paraId="59F42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jc w:val="center"/>
        </w:trPr>
        <w:tc>
          <w:tcPr>
            <w:tcW w:w="1524" w:type="dxa"/>
            <w:noWrap w:val="0"/>
            <w:vAlign w:val="center"/>
          </w:tcPr>
          <w:p w14:paraId="371DAF41">
            <w:pPr>
              <w:keepNext w:val="0"/>
              <w:keepLines w:val="0"/>
              <w:suppressLineNumbers w:val="0"/>
              <w:spacing w:before="0" w:beforeAutospacing="0" w:after="0" w:afterAutospacing="0" w:line="480" w:lineRule="auto"/>
              <w:ind w:left="0" w:right="0"/>
              <w:jc w:val="center"/>
              <w:rPr>
                <w:rFonts w:hint="default" w:ascii="宋体" w:hAnsi="宋体" w:cs="宋体"/>
                <w:spacing w:val="-1"/>
                <w:szCs w:val="21"/>
                <w:highlight w:val="none"/>
              </w:rPr>
            </w:pPr>
            <w:bookmarkStart w:id="107" w:name="_Toc20591"/>
            <w:bookmarkStart w:id="108" w:name="_Toc17375"/>
            <w:bookmarkStart w:id="109" w:name="_Toc9919"/>
            <w:r>
              <w:rPr>
                <w:rFonts w:hint="eastAsia" w:ascii="宋体" w:hAnsi="宋体" w:cs="宋体"/>
                <w:spacing w:val="-1"/>
                <w:szCs w:val="21"/>
                <w:highlight w:val="none"/>
              </w:rPr>
              <w:t>评审因素及分值</w:t>
            </w:r>
          </w:p>
        </w:tc>
        <w:tc>
          <w:tcPr>
            <w:tcW w:w="7256" w:type="dxa"/>
            <w:gridSpan w:val="3"/>
            <w:noWrap w:val="0"/>
            <w:vAlign w:val="center"/>
          </w:tcPr>
          <w:p w14:paraId="0ECDB317">
            <w:pPr>
              <w:keepNext w:val="0"/>
              <w:keepLines w:val="0"/>
              <w:suppressLineNumbers w:val="0"/>
              <w:spacing w:before="0" w:beforeAutospacing="0" w:after="0" w:afterAutospacing="0" w:line="480" w:lineRule="auto"/>
              <w:ind w:left="0" w:right="0"/>
              <w:jc w:val="center"/>
              <w:rPr>
                <w:rFonts w:hint="default" w:ascii="宋体" w:hAnsi="宋体" w:cs="宋体"/>
                <w:spacing w:val="-1"/>
                <w:szCs w:val="21"/>
                <w:highlight w:val="none"/>
              </w:rPr>
            </w:pPr>
            <w:r>
              <w:rPr>
                <w:rFonts w:hint="eastAsia" w:ascii="宋体" w:hAnsi="宋体" w:cs="宋体"/>
                <w:spacing w:val="-1"/>
                <w:szCs w:val="21"/>
                <w:highlight w:val="none"/>
              </w:rPr>
              <w:t>评分标准</w:t>
            </w:r>
          </w:p>
        </w:tc>
      </w:tr>
      <w:tr w14:paraId="45994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jc w:val="center"/>
        </w:trPr>
        <w:tc>
          <w:tcPr>
            <w:tcW w:w="1524" w:type="dxa"/>
            <w:noWrap w:val="0"/>
            <w:vAlign w:val="center"/>
          </w:tcPr>
          <w:p w14:paraId="1CFAAC30">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rPr>
              <w:t>磋商报价</w:t>
            </w:r>
          </w:p>
          <w:p w14:paraId="594B8E55">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0分）</w:t>
            </w:r>
          </w:p>
        </w:tc>
        <w:tc>
          <w:tcPr>
            <w:tcW w:w="7256" w:type="dxa"/>
            <w:gridSpan w:val="3"/>
            <w:noWrap w:val="0"/>
            <w:vAlign w:val="center"/>
          </w:tcPr>
          <w:p w14:paraId="74C63B58">
            <w:pPr>
              <w:keepNext w:val="0"/>
              <w:keepLines w:val="0"/>
              <w:suppressLineNumbers w:val="0"/>
              <w:spacing w:before="0" w:beforeAutospacing="0" w:after="0" w:afterAutospacing="0"/>
              <w:ind w:left="0" w:right="0"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本项目采用下浮比例报价方式，计费基准为《四川省物价局、四川省建设厅关于〈工程造价咨询服务收费标准〉的通知》（川价发〔2008〕141 号）对应服务项目的基准收费标准。</w:t>
            </w:r>
          </w:p>
          <w:p w14:paraId="79B6E061">
            <w:pPr>
              <w:keepNext w:val="0"/>
              <w:keepLines w:val="0"/>
              <w:suppressLineNumbers w:val="0"/>
              <w:spacing w:before="0" w:beforeAutospacing="0" w:after="0" w:afterAutospacing="0"/>
              <w:ind w:left="0" w:right="0"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以本次有效磋商响应中的</w:t>
            </w:r>
            <w:r>
              <w:rPr>
                <w:rFonts w:hint="eastAsia" w:ascii="Times New Roman" w:hAnsi="Times New Roman" w:eastAsia="宋体" w:cs="Times New Roman"/>
                <w:b/>
                <w:bCs/>
                <w:highlight w:val="none"/>
              </w:rPr>
              <w:t>最高下浮比例为基准下浮比例</w:t>
            </w:r>
            <w:r>
              <w:rPr>
                <w:rFonts w:hint="eastAsia" w:ascii="Times New Roman" w:hAnsi="Times New Roman" w:eastAsia="宋体" w:cs="Times New Roman"/>
                <w:highlight w:val="none"/>
              </w:rPr>
              <w:t>，报价得分计算公式为：</w:t>
            </w:r>
          </w:p>
          <w:p w14:paraId="5A3B029B">
            <w:pPr>
              <w:keepNext w:val="0"/>
              <w:keepLines w:val="0"/>
              <w:suppressLineNumbers w:val="0"/>
              <w:spacing w:before="0" w:beforeAutospacing="0" w:after="0" w:afterAutospacing="0"/>
              <w:ind w:left="0" w:right="0" w:firstLine="422"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b/>
                <w:bCs/>
                <w:highlight w:val="none"/>
              </w:rPr>
              <w:t>报价得分</w:t>
            </w:r>
            <w:r>
              <w:rPr>
                <w:rFonts w:hint="eastAsia" w:cs="Times New Roman"/>
                <w:b/>
                <w:bCs/>
                <w:highlight w:val="none"/>
                <w:lang w:val="en-US" w:eastAsia="zh-CN"/>
              </w:rPr>
              <w:t>=</w:t>
            </w:r>
            <m:oMath>
              <m:f>
                <m:fPr>
                  <m:ctrlPr>
                    <w:rPr>
                      <w:rFonts w:hint="default" w:ascii="Cambria Math" w:hAnsi="Cambria Math" w:cs="Times New Roman"/>
                      <w:b/>
                      <w:bCs/>
                      <w:i w:val="0"/>
                      <w:sz w:val="28"/>
                      <w:highlight w:val="none"/>
                    </w:rPr>
                  </m:ctrlPr>
                </m:fPr>
                <m:num>
                  <m:r>
                    <m:rPr>
                      <m:sty m:val="b"/>
                    </m:rPr>
                    <w:rPr>
                      <w:rFonts w:hint="default" w:ascii="Cambria Math" w:hAnsi="Cambria Math" w:cs="Times New Roman"/>
                      <w:sz w:val="28"/>
                      <w:highlight w:val="none"/>
                      <w:lang w:val="en-US" w:eastAsia="zh-CN"/>
                    </w:rPr>
                    <m:t>1−</m:t>
                  </m:r>
                  <m:r>
                    <m:rPr>
                      <m:sty m:val="b"/>
                    </m:rPr>
                    <w:rPr>
                      <w:rFonts w:hint="eastAsia" w:ascii="Cambria Math" w:hAnsi="Cambria Math" w:cs="Times New Roman"/>
                      <w:sz w:val="28"/>
                      <w:highlight w:val="none"/>
                      <w:lang w:val="en-US" w:eastAsia="zh-CN"/>
                    </w:rPr>
                    <m:t>基准下浮比例</m:t>
                  </m:r>
                  <m:ctrlPr>
                    <w:rPr>
                      <w:rFonts w:hint="default" w:ascii="Cambria Math" w:hAnsi="Cambria Math" w:cs="Times New Roman"/>
                      <w:b/>
                      <w:bCs/>
                      <w:i w:val="0"/>
                      <w:sz w:val="28"/>
                      <w:highlight w:val="none"/>
                    </w:rPr>
                  </m:ctrlPr>
                </m:num>
                <m:den>
                  <m:r>
                    <m:rPr>
                      <m:sty m:val="b"/>
                    </m:rPr>
                    <w:rPr>
                      <w:rFonts w:hint="default" w:ascii="Cambria Math" w:hAnsi="Cambria Math" w:cs="Times New Roman"/>
                      <w:sz w:val="28"/>
                      <w:highlight w:val="none"/>
                      <w:lang w:val="en-US" w:eastAsia="zh-CN"/>
                    </w:rPr>
                    <m:t>1−</m:t>
                  </m:r>
                  <m:r>
                    <m:rPr>
                      <m:sty m:val="b"/>
                    </m:rPr>
                    <w:rPr>
                      <w:rFonts w:hint="eastAsia" w:ascii="Cambria Math" w:hAnsi="Cambria Math" w:cs="Times New Roman"/>
                      <w:sz w:val="28"/>
                      <w:highlight w:val="none"/>
                      <w:lang w:val="en-US" w:eastAsia="zh-CN"/>
                    </w:rPr>
                    <m:t>投标人磋商下浮比例</m:t>
                  </m:r>
                  <m:ctrlPr>
                    <w:rPr>
                      <w:rFonts w:hint="default" w:ascii="Cambria Math" w:hAnsi="Cambria Math" w:cs="Times New Roman"/>
                      <w:b/>
                      <w:bCs/>
                      <w:i w:val="0"/>
                      <w:sz w:val="28"/>
                      <w:highlight w:val="none"/>
                    </w:rPr>
                  </m:ctrlPr>
                </m:den>
              </m:f>
            </m:oMath>
            <w:r>
              <w:rPr>
                <w:rFonts w:hint="eastAsia" w:ascii="Times New Roman" w:hAnsi="Cambria Math" w:cs="Times New Roman"/>
                <w:b/>
                <w:bCs/>
                <w:i w:val="0"/>
                <w:sz w:val="28"/>
                <w:highlight w:val="none"/>
                <w:lang w:val="en-US" w:eastAsia="zh-CN"/>
              </w:rPr>
              <w:t xml:space="preserve">×20 </w:t>
            </w:r>
            <w:r>
              <w:rPr>
                <w:rFonts w:hint="eastAsia" w:ascii="Times New Roman" w:hAnsi="Times New Roman" w:eastAsia="宋体" w:cs="Times New Roman"/>
                <w:highlight w:val="none"/>
              </w:rPr>
              <w:t>计算结果保留小数点后两位</w:t>
            </w:r>
            <w:r>
              <w:rPr>
                <w:rFonts w:hint="eastAsia" w:ascii="Times New Roman" w:hAnsi="Times New Roman" w:eastAsia="宋体" w:cs="Times New Roman"/>
                <w:highlight w:val="none"/>
                <w:lang w:eastAsia="zh-CN"/>
              </w:rPr>
              <w:t>。</w:t>
            </w:r>
          </w:p>
          <w:p w14:paraId="43E2EBDB">
            <w:pPr>
              <w:keepNext w:val="0"/>
              <w:keepLines w:val="0"/>
              <w:suppressLineNumbers w:val="0"/>
              <w:spacing w:before="0" w:beforeAutospacing="0" w:after="0" w:afterAutospacing="0"/>
              <w:ind w:left="0" w:right="0"/>
              <w:rPr>
                <w:rFonts w:hint="default" w:ascii="Times New Roman" w:hAnsi="Times New Roman" w:cs="Times New Roman"/>
              </w:rPr>
            </w:pPr>
          </w:p>
        </w:tc>
      </w:tr>
      <w:tr w14:paraId="48E9C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jc w:val="center"/>
        </w:trPr>
        <w:tc>
          <w:tcPr>
            <w:tcW w:w="1524" w:type="dxa"/>
            <w:noWrap w:val="0"/>
            <w:vAlign w:val="center"/>
          </w:tcPr>
          <w:p w14:paraId="08FC91B4">
            <w:pPr>
              <w:keepNext w:val="0"/>
              <w:keepLines w:val="0"/>
              <w:suppressLineNumbers w:val="0"/>
              <w:spacing w:before="0" w:beforeAutospacing="0" w:after="0" w:afterAutospacing="0"/>
              <w:ind w:left="0" w:right="0"/>
              <w:jc w:val="center"/>
              <w:rPr>
                <w:rFonts w:hint="eastAsia" w:ascii="Times New Roman" w:hAnsi="Times New Roman" w:cs="Times New Roman"/>
                <w:highlight w:val="none"/>
              </w:rPr>
            </w:pPr>
            <w:r>
              <w:rPr>
                <w:rFonts w:hint="eastAsia" w:ascii="Times New Roman" w:hAnsi="Times New Roman" w:cs="Times New Roman"/>
                <w:highlight w:val="none"/>
              </w:rPr>
              <w:t>企业业绩</w:t>
            </w:r>
          </w:p>
          <w:p w14:paraId="0CAAC540">
            <w:pPr>
              <w:pStyle w:val="2"/>
              <w:keepNext w:val="0"/>
              <w:keepLines w:val="0"/>
              <w:suppressLineNumbers w:val="0"/>
              <w:spacing w:before="0" w:beforeAutospacing="0" w:afterAutospacing="0"/>
              <w:ind w:left="0" w:right="0" w:firstLine="420" w:firstLineChars="200"/>
              <w:rPr>
                <w:rFonts w:hint="eastAsia"/>
                <w:highlight w:val="none"/>
              </w:rPr>
            </w:pPr>
            <w:r>
              <w:rPr>
                <w:rFonts w:hint="eastAsia" w:eastAsia="宋体"/>
                <w:szCs w:val="24"/>
                <w:highlight w:val="none"/>
              </w:rPr>
              <w:t>（</w:t>
            </w:r>
            <w:r>
              <w:rPr>
                <w:rFonts w:hint="eastAsia" w:eastAsia="宋体"/>
                <w:szCs w:val="24"/>
                <w:highlight w:val="none"/>
                <w:lang w:val="en-US" w:eastAsia="zh-CN"/>
              </w:rPr>
              <w:t>25</w:t>
            </w:r>
            <w:r>
              <w:rPr>
                <w:rFonts w:hint="eastAsia" w:eastAsia="宋体"/>
                <w:szCs w:val="24"/>
                <w:highlight w:val="none"/>
              </w:rPr>
              <w:t>分）</w:t>
            </w:r>
          </w:p>
        </w:tc>
        <w:tc>
          <w:tcPr>
            <w:tcW w:w="7256" w:type="dxa"/>
            <w:gridSpan w:val="3"/>
            <w:noWrap w:val="0"/>
            <w:vAlign w:val="center"/>
          </w:tcPr>
          <w:p w14:paraId="03A34945">
            <w:pPr>
              <w:keepNext w:val="0"/>
              <w:keepLines w:val="0"/>
              <w:suppressLineNumbers w:val="0"/>
              <w:spacing w:before="0" w:beforeAutospacing="0" w:after="0" w:afterAutospacing="0"/>
              <w:ind w:left="0" w:right="0" w:firstLine="420" w:firstLineChars="200"/>
              <w:rPr>
                <w:rFonts w:hint="eastAsia" w:ascii="Times New Roman" w:hAnsi="Times New Roman" w:eastAsia="宋体" w:cs="Times New Roman"/>
                <w:highlight w:val="none"/>
                <w:lang w:eastAsia="zh-CN"/>
              </w:rPr>
            </w:pPr>
            <w:r>
              <w:rPr>
                <w:rFonts w:hint="default" w:ascii="Times New Roman" w:hAnsi="Times New Roman" w:cs="Times New Roman"/>
                <w:highlight w:val="none"/>
              </w:rPr>
              <w:t>自202</w:t>
            </w:r>
            <w:r>
              <w:rPr>
                <w:rFonts w:hint="eastAsia" w:ascii="Times New Roman" w:hAnsi="Times New Roman" w:cs="Times New Roman"/>
                <w:highlight w:val="none"/>
                <w:lang w:val="en-US" w:eastAsia="zh-CN"/>
              </w:rPr>
              <w:t>3</w:t>
            </w:r>
            <w:r>
              <w:rPr>
                <w:rFonts w:hint="default" w:ascii="Times New Roman" w:hAnsi="Times New Roman" w:cs="Times New Roman"/>
                <w:highlight w:val="none"/>
              </w:rPr>
              <w:t>年1月1日起至今，投标</w:t>
            </w:r>
            <w:r>
              <w:rPr>
                <w:rFonts w:hint="eastAsia" w:ascii="Times New Roman" w:hAnsi="Times New Roman" w:cs="Times New Roman"/>
                <w:highlight w:val="none"/>
              </w:rPr>
              <w:t>供应商</w:t>
            </w:r>
            <w:r>
              <w:rPr>
                <w:rFonts w:hint="default" w:ascii="Times New Roman" w:hAnsi="Times New Roman" w:cs="Times New Roman"/>
                <w:highlight w:val="none"/>
              </w:rPr>
              <w:t>每提供一个类似项目业绩的得</w:t>
            </w:r>
            <w:r>
              <w:rPr>
                <w:rFonts w:hint="eastAsia" w:ascii="Times New Roman" w:hAnsi="Times New Roman" w:cs="Times New Roman"/>
                <w:highlight w:val="none"/>
                <w:lang w:val="en-US" w:eastAsia="zh-CN"/>
              </w:rPr>
              <w:t>5</w:t>
            </w:r>
            <w:r>
              <w:rPr>
                <w:rFonts w:hint="default" w:ascii="Times New Roman" w:hAnsi="Times New Roman" w:cs="Times New Roman"/>
                <w:highlight w:val="none"/>
              </w:rPr>
              <w:t>分，本项最高得</w:t>
            </w:r>
            <w:r>
              <w:rPr>
                <w:rFonts w:hint="eastAsia" w:cs="Times New Roman"/>
                <w:highlight w:val="none"/>
                <w:lang w:val="en-US" w:eastAsia="zh-CN"/>
              </w:rPr>
              <w:t>25</w:t>
            </w:r>
            <w:r>
              <w:rPr>
                <w:rFonts w:hint="default" w:ascii="Times New Roman" w:hAnsi="Times New Roman" w:cs="Times New Roman"/>
                <w:highlight w:val="none"/>
              </w:rPr>
              <w:t>分。</w:t>
            </w:r>
            <w:r>
              <w:rPr>
                <w:rFonts w:hint="eastAsia" w:ascii="Times New Roman" w:hAnsi="Times New Roman" w:cs="Times New Roman"/>
                <w:highlight w:val="none"/>
                <w:lang w:eastAsia="zh-CN"/>
              </w:rPr>
              <w:t>（所指类似项目业绩，包含房屋建筑工程类别下的新建、改建、扩建、整体修缮及零星维修项目对应的工程咨询服务（服务类型含造价咨询、预算编制、结算审核、全过程跟踪审计等与本次招标服务内容一致的范畴），覆盖土建或安装任一专业即可认定为有效业绩。）</w:t>
            </w:r>
          </w:p>
          <w:p w14:paraId="5AEAE187">
            <w:pPr>
              <w:pStyle w:val="2"/>
              <w:keepNext w:val="0"/>
              <w:keepLines w:val="0"/>
              <w:suppressLineNumbers w:val="0"/>
              <w:spacing w:before="0" w:beforeAutospacing="0" w:afterAutospacing="0"/>
              <w:ind w:left="0" w:right="0" w:firstLine="422" w:firstLineChars="200"/>
              <w:rPr>
                <w:rFonts w:hint="default" w:ascii="宋体" w:hAnsi="宋体" w:cs="宋体"/>
                <w:szCs w:val="21"/>
                <w:highlight w:val="none"/>
              </w:rPr>
            </w:pPr>
            <w:r>
              <w:rPr>
                <w:rFonts w:hint="eastAsia" w:eastAsia="宋体"/>
                <w:b/>
                <w:bCs/>
                <w:szCs w:val="24"/>
                <w:highlight w:val="none"/>
              </w:rPr>
              <w:t>注：须提供合同复印件、审计报告复印件并加盖供应商鲜章。</w:t>
            </w:r>
          </w:p>
        </w:tc>
      </w:tr>
      <w:tr w14:paraId="52972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524" w:type="dxa"/>
            <w:vMerge w:val="restart"/>
            <w:noWrap w:val="0"/>
            <w:vAlign w:val="center"/>
          </w:tcPr>
          <w:p w14:paraId="42811D3B">
            <w:pPr>
              <w:keepNext w:val="0"/>
              <w:keepLines w:val="0"/>
              <w:suppressLineNumbers w:val="0"/>
              <w:spacing w:before="0" w:beforeAutospacing="0" w:after="0" w:afterAutospacing="0"/>
              <w:ind w:left="0" w:right="0"/>
              <w:jc w:val="center"/>
              <w:rPr>
                <w:rFonts w:hint="eastAsia" w:ascii="宋体" w:hAnsi="宋体" w:cs="宋体"/>
                <w:szCs w:val="21"/>
                <w:highlight w:val="none"/>
                <w:lang w:val="zh-CN"/>
              </w:rPr>
            </w:pPr>
            <w:r>
              <w:rPr>
                <w:rFonts w:hint="eastAsia" w:ascii="宋体" w:hAnsi="宋体" w:cs="宋体"/>
                <w:szCs w:val="21"/>
                <w:highlight w:val="none"/>
                <w:lang w:val="zh-CN"/>
              </w:rPr>
              <w:t>人员配置</w:t>
            </w:r>
          </w:p>
          <w:p w14:paraId="03ED9B6D">
            <w:pPr>
              <w:keepNext w:val="0"/>
              <w:keepLines w:val="0"/>
              <w:suppressLineNumbers w:val="0"/>
              <w:spacing w:before="0" w:beforeAutospacing="0" w:after="0" w:afterAutospacing="0"/>
              <w:ind w:left="0" w:right="0"/>
              <w:jc w:val="center"/>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lang w:val="en-US" w:eastAsia="zh-CN"/>
              </w:rPr>
              <w:t>40</w:t>
            </w:r>
            <w:r>
              <w:rPr>
                <w:rFonts w:hint="eastAsia" w:ascii="宋体" w:hAnsi="宋体" w:cs="宋体"/>
                <w:szCs w:val="21"/>
                <w:highlight w:val="none"/>
              </w:rPr>
              <w:t>分</w:t>
            </w:r>
            <w:r>
              <w:rPr>
                <w:rFonts w:hint="eastAsia" w:ascii="宋体" w:hAnsi="宋体" w:cs="宋体"/>
                <w:szCs w:val="21"/>
                <w:highlight w:val="none"/>
                <w:lang w:val="zh-CN"/>
              </w:rPr>
              <w:t>）</w:t>
            </w:r>
          </w:p>
        </w:tc>
        <w:tc>
          <w:tcPr>
            <w:tcW w:w="1441" w:type="dxa"/>
            <w:noWrap w:val="0"/>
            <w:vAlign w:val="center"/>
          </w:tcPr>
          <w:p w14:paraId="6232AC0F">
            <w:pPr>
              <w:keepNext w:val="0"/>
              <w:keepLines w:val="0"/>
              <w:suppressLineNumbers w:val="0"/>
              <w:spacing w:before="0" w:beforeAutospacing="0" w:after="0" w:afterAutospacing="0"/>
              <w:ind w:left="0" w:right="0" w:firstLine="420" w:firstLineChars="200"/>
              <w:rPr>
                <w:rFonts w:hint="eastAsia" w:ascii="Times New Roman" w:hAnsi="Times New Roman" w:cs="Times New Roman"/>
                <w:highlight w:val="none"/>
              </w:rPr>
            </w:pPr>
            <w:r>
              <w:rPr>
                <w:rFonts w:hint="eastAsia" w:ascii="Times New Roman" w:hAnsi="Times New Roman" w:cs="Times New Roman"/>
                <w:highlight w:val="none"/>
              </w:rPr>
              <w:t>项目负责人及主审人员配置（</w:t>
            </w:r>
            <w:r>
              <w:rPr>
                <w:rFonts w:hint="eastAsia" w:cs="Times New Roman"/>
                <w:highlight w:val="none"/>
                <w:lang w:val="en-US" w:eastAsia="zh-CN"/>
              </w:rPr>
              <w:t>20</w:t>
            </w:r>
            <w:r>
              <w:rPr>
                <w:rFonts w:hint="eastAsia" w:ascii="Times New Roman" w:hAnsi="Times New Roman" w:cs="Times New Roman"/>
                <w:highlight w:val="none"/>
              </w:rPr>
              <w:t>分）</w:t>
            </w:r>
          </w:p>
        </w:tc>
        <w:tc>
          <w:tcPr>
            <w:tcW w:w="3969" w:type="dxa"/>
            <w:noWrap w:val="0"/>
            <w:vAlign w:val="center"/>
          </w:tcPr>
          <w:p w14:paraId="023E4FB0">
            <w:pPr>
              <w:keepNext w:val="0"/>
              <w:keepLines w:val="0"/>
              <w:suppressLineNumbers w:val="0"/>
              <w:spacing w:before="0" w:beforeAutospacing="0" w:after="0" w:afterAutospacing="0"/>
              <w:ind w:left="0" w:right="0" w:firstLine="420" w:firstLineChars="200"/>
              <w:rPr>
                <w:rFonts w:hint="default" w:ascii="Times New Roman" w:hAnsi="Times New Roman" w:cs="Times New Roman"/>
                <w:highlight w:val="none"/>
              </w:rPr>
            </w:pPr>
            <w:r>
              <w:rPr>
                <w:rFonts w:hint="eastAsia" w:ascii="Times New Roman" w:hAnsi="Times New Roman" w:cs="Times New Roman"/>
                <w:highlight w:val="none"/>
              </w:rPr>
              <w:t>每有1名一级注册造价工程师的得</w:t>
            </w:r>
            <w:r>
              <w:rPr>
                <w:rFonts w:hint="eastAsia" w:cs="Times New Roman"/>
                <w:highlight w:val="none"/>
                <w:lang w:val="en-US" w:eastAsia="zh-CN"/>
              </w:rPr>
              <w:t>4</w:t>
            </w:r>
            <w:r>
              <w:rPr>
                <w:rFonts w:hint="eastAsia" w:ascii="Times New Roman" w:hAnsi="Times New Roman" w:cs="Times New Roman"/>
                <w:highlight w:val="none"/>
              </w:rPr>
              <w:t>分，本项最高得</w:t>
            </w:r>
            <w:r>
              <w:rPr>
                <w:rFonts w:hint="eastAsia" w:cs="Times New Roman"/>
                <w:highlight w:val="none"/>
                <w:lang w:val="en-US" w:eastAsia="zh-CN"/>
              </w:rPr>
              <w:t>20</w:t>
            </w:r>
            <w:r>
              <w:rPr>
                <w:rFonts w:hint="eastAsia" w:ascii="Times New Roman" w:hAnsi="Times New Roman" w:cs="Times New Roman"/>
                <w:highlight w:val="none"/>
              </w:rPr>
              <w:t>分。</w:t>
            </w:r>
          </w:p>
        </w:tc>
        <w:tc>
          <w:tcPr>
            <w:tcW w:w="1846" w:type="dxa"/>
            <w:noWrap w:val="0"/>
            <w:vAlign w:val="center"/>
          </w:tcPr>
          <w:p w14:paraId="17F348D9">
            <w:pPr>
              <w:keepNext w:val="0"/>
              <w:keepLines w:val="0"/>
              <w:suppressLineNumbers w:val="0"/>
              <w:spacing w:before="0" w:beforeAutospacing="0" w:after="0" w:afterAutospacing="0"/>
              <w:ind w:left="0" w:right="0" w:firstLine="210" w:firstLineChars="100"/>
              <w:rPr>
                <w:rFonts w:hint="eastAsia" w:ascii="Times New Roman" w:hAnsi="Times New Roman" w:cs="Times New Roman"/>
                <w:highlight w:val="none"/>
              </w:rPr>
            </w:pPr>
            <w:r>
              <w:rPr>
                <w:rFonts w:hint="eastAsia" w:ascii="Times New Roman" w:hAnsi="Times New Roman" w:cs="Times New Roman"/>
                <w:highlight w:val="none"/>
              </w:rPr>
              <w:t>提供有效证书复印件，并加盖公章，未提供不得分。</w:t>
            </w:r>
          </w:p>
        </w:tc>
      </w:tr>
      <w:tr w14:paraId="2100A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524" w:type="dxa"/>
            <w:vMerge w:val="continue"/>
            <w:noWrap w:val="0"/>
            <w:vAlign w:val="center"/>
          </w:tcPr>
          <w:p w14:paraId="55278916">
            <w:pPr>
              <w:keepNext w:val="0"/>
              <w:keepLines w:val="0"/>
              <w:suppressLineNumbers w:val="0"/>
              <w:spacing w:before="0" w:beforeAutospacing="0" w:after="0" w:afterAutospacing="0"/>
              <w:ind w:left="0" w:right="0" w:firstLine="420" w:firstLineChars="200"/>
              <w:rPr>
                <w:rFonts w:hint="default" w:ascii="Times New Roman" w:hAnsi="Times New Roman" w:cs="Times New Roman"/>
                <w:highlight w:val="none"/>
              </w:rPr>
            </w:pPr>
          </w:p>
        </w:tc>
        <w:tc>
          <w:tcPr>
            <w:tcW w:w="1441" w:type="dxa"/>
            <w:noWrap w:val="0"/>
            <w:vAlign w:val="center"/>
          </w:tcPr>
          <w:p w14:paraId="58328054">
            <w:pPr>
              <w:keepNext w:val="0"/>
              <w:keepLines w:val="0"/>
              <w:suppressLineNumbers w:val="0"/>
              <w:spacing w:before="0" w:beforeAutospacing="0" w:after="0" w:afterAutospacing="0"/>
              <w:ind w:left="0" w:right="0" w:firstLine="420" w:firstLineChars="200"/>
              <w:rPr>
                <w:rFonts w:hint="eastAsia" w:ascii="Times New Roman" w:hAnsi="Times New Roman" w:cs="Times New Roman"/>
                <w:highlight w:val="none"/>
              </w:rPr>
            </w:pPr>
            <w:r>
              <w:rPr>
                <w:rFonts w:hint="eastAsia" w:ascii="Times New Roman" w:hAnsi="Times New Roman" w:cs="Times New Roman"/>
                <w:highlight w:val="none"/>
              </w:rPr>
              <w:t>项目负责人业绩（10分）</w:t>
            </w:r>
          </w:p>
        </w:tc>
        <w:tc>
          <w:tcPr>
            <w:tcW w:w="3969" w:type="dxa"/>
            <w:noWrap w:val="0"/>
            <w:vAlign w:val="center"/>
          </w:tcPr>
          <w:p w14:paraId="61F189CD">
            <w:pPr>
              <w:keepNext w:val="0"/>
              <w:keepLines w:val="0"/>
              <w:suppressLineNumbers w:val="0"/>
              <w:spacing w:before="0" w:beforeAutospacing="0" w:after="0" w:afterAutospacing="0"/>
              <w:ind w:left="0" w:right="0" w:firstLine="420" w:firstLineChars="200"/>
              <w:rPr>
                <w:rFonts w:hint="default" w:ascii="Times New Roman" w:hAnsi="Times New Roman" w:cs="Times New Roman"/>
                <w:highlight w:val="none"/>
              </w:rPr>
            </w:pPr>
            <w:r>
              <w:rPr>
                <w:rFonts w:hint="eastAsia" w:ascii="Times New Roman" w:hAnsi="Times New Roman" w:cs="Times New Roman"/>
                <w:highlight w:val="none"/>
              </w:rPr>
              <w:t>项目负责人自</w:t>
            </w:r>
            <w:r>
              <w:rPr>
                <w:rFonts w:hint="default" w:ascii="Times New Roman" w:hAnsi="Times New Roman" w:cs="Times New Roman"/>
                <w:highlight w:val="none"/>
              </w:rPr>
              <w:t>202</w:t>
            </w:r>
            <w:r>
              <w:rPr>
                <w:rFonts w:hint="eastAsia" w:ascii="Times New Roman" w:hAnsi="Times New Roman" w:cs="Times New Roman"/>
                <w:highlight w:val="none"/>
                <w:lang w:val="en-US" w:eastAsia="zh-CN"/>
              </w:rPr>
              <w:t>3</w:t>
            </w:r>
            <w:r>
              <w:rPr>
                <w:rFonts w:hint="default" w:ascii="Times New Roman" w:hAnsi="Times New Roman" w:cs="Times New Roman"/>
                <w:highlight w:val="none"/>
              </w:rPr>
              <w:t>年1月1日起至今</w:t>
            </w:r>
            <w:r>
              <w:rPr>
                <w:rFonts w:hint="eastAsia" w:ascii="Times New Roman" w:hAnsi="Times New Roman" w:cs="Times New Roman"/>
                <w:highlight w:val="none"/>
              </w:rPr>
              <w:t>，每完成一项工程类审计项目得2分，本项最高得10分。</w:t>
            </w:r>
          </w:p>
        </w:tc>
        <w:tc>
          <w:tcPr>
            <w:tcW w:w="1846" w:type="dxa"/>
            <w:noWrap w:val="0"/>
            <w:vAlign w:val="center"/>
          </w:tcPr>
          <w:p w14:paraId="7334B50F">
            <w:pPr>
              <w:keepNext w:val="0"/>
              <w:keepLines w:val="0"/>
              <w:suppressLineNumbers w:val="0"/>
              <w:spacing w:before="0" w:beforeAutospacing="0" w:after="0" w:afterAutospacing="0"/>
              <w:ind w:left="0" w:right="0" w:firstLine="210" w:firstLineChars="100"/>
              <w:rPr>
                <w:rFonts w:hint="eastAsia" w:ascii="Times New Roman" w:hAnsi="Times New Roman" w:cs="Times New Roman"/>
                <w:highlight w:val="none"/>
              </w:rPr>
            </w:pPr>
            <w:r>
              <w:rPr>
                <w:rFonts w:hint="eastAsia" w:ascii="Times New Roman" w:hAnsi="Times New Roman" w:cs="Times New Roman"/>
                <w:highlight w:val="none"/>
              </w:rPr>
              <w:t>提供审计报告复印件，并加盖公章，未提供不得分。</w:t>
            </w:r>
          </w:p>
        </w:tc>
      </w:tr>
      <w:tr w14:paraId="48705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524" w:type="dxa"/>
            <w:vMerge w:val="continue"/>
            <w:noWrap w:val="0"/>
            <w:vAlign w:val="center"/>
          </w:tcPr>
          <w:p w14:paraId="072CB32B">
            <w:pPr>
              <w:keepNext w:val="0"/>
              <w:keepLines w:val="0"/>
              <w:suppressLineNumbers w:val="0"/>
              <w:spacing w:before="0" w:beforeAutospacing="0" w:after="0" w:afterAutospacing="0"/>
              <w:ind w:left="0" w:right="0" w:firstLine="420" w:firstLineChars="200"/>
              <w:rPr>
                <w:rFonts w:hint="eastAsia" w:ascii="Times New Roman" w:hAnsi="Times New Roman" w:cs="Times New Roman"/>
                <w:highlight w:val="none"/>
              </w:rPr>
            </w:pPr>
          </w:p>
        </w:tc>
        <w:tc>
          <w:tcPr>
            <w:tcW w:w="1441" w:type="dxa"/>
            <w:noWrap w:val="0"/>
            <w:vAlign w:val="center"/>
          </w:tcPr>
          <w:p w14:paraId="52896A33">
            <w:pPr>
              <w:keepNext w:val="0"/>
              <w:keepLines w:val="0"/>
              <w:suppressLineNumbers w:val="0"/>
              <w:spacing w:before="0" w:beforeAutospacing="0" w:after="0" w:afterAutospacing="0"/>
              <w:ind w:left="0" w:right="0" w:firstLine="420" w:firstLineChars="200"/>
              <w:rPr>
                <w:rFonts w:hint="eastAsia" w:ascii="Times New Roman" w:hAnsi="Times New Roman" w:cs="Times New Roman"/>
                <w:highlight w:val="none"/>
              </w:rPr>
            </w:pPr>
            <w:r>
              <w:rPr>
                <w:rFonts w:hint="eastAsia" w:ascii="Times New Roman" w:hAnsi="Times New Roman" w:cs="Times New Roman"/>
                <w:highlight w:val="none"/>
              </w:rPr>
              <w:t>主审人员业绩（10分）</w:t>
            </w:r>
          </w:p>
        </w:tc>
        <w:tc>
          <w:tcPr>
            <w:tcW w:w="3969" w:type="dxa"/>
            <w:noWrap w:val="0"/>
            <w:vAlign w:val="center"/>
          </w:tcPr>
          <w:p w14:paraId="3CB972BF">
            <w:pPr>
              <w:keepNext w:val="0"/>
              <w:keepLines w:val="0"/>
              <w:suppressLineNumbers w:val="0"/>
              <w:spacing w:before="0" w:beforeAutospacing="0" w:after="0" w:afterAutospacing="0"/>
              <w:ind w:left="0" w:right="0" w:firstLine="420" w:firstLineChars="200"/>
              <w:rPr>
                <w:rFonts w:hint="eastAsia" w:ascii="Times New Roman" w:hAnsi="Times New Roman" w:cs="Times New Roman"/>
                <w:highlight w:val="none"/>
              </w:rPr>
            </w:pPr>
            <w:r>
              <w:rPr>
                <w:rFonts w:hint="eastAsia" w:ascii="Times New Roman" w:hAnsi="Times New Roman" w:cs="Times New Roman"/>
                <w:highlight w:val="none"/>
              </w:rPr>
              <w:t>主审人员自</w:t>
            </w:r>
            <w:r>
              <w:rPr>
                <w:rFonts w:hint="default" w:ascii="Times New Roman" w:hAnsi="Times New Roman" w:cs="Times New Roman"/>
                <w:highlight w:val="none"/>
              </w:rPr>
              <w:t>202</w:t>
            </w:r>
            <w:r>
              <w:rPr>
                <w:rFonts w:hint="eastAsia" w:ascii="Times New Roman" w:hAnsi="Times New Roman" w:cs="Times New Roman"/>
                <w:highlight w:val="none"/>
                <w:lang w:val="en-US" w:eastAsia="zh-CN"/>
              </w:rPr>
              <w:t>3</w:t>
            </w:r>
            <w:r>
              <w:rPr>
                <w:rFonts w:hint="default" w:ascii="Times New Roman" w:hAnsi="Times New Roman" w:cs="Times New Roman"/>
                <w:highlight w:val="none"/>
              </w:rPr>
              <w:t>年1月1日起至今</w:t>
            </w:r>
            <w:r>
              <w:rPr>
                <w:rFonts w:hint="eastAsia" w:ascii="Times New Roman" w:hAnsi="Times New Roman" w:cs="Times New Roman"/>
                <w:highlight w:val="none"/>
              </w:rPr>
              <w:t>，每完成一项工程类审计项目得2分，本项最高得10分。</w:t>
            </w:r>
          </w:p>
        </w:tc>
        <w:tc>
          <w:tcPr>
            <w:tcW w:w="1846" w:type="dxa"/>
            <w:noWrap w:val="0"/>
            <w:vAlign w:val="center"/>
          </w:tcPr>
          <w:p w14:paraId="33583287">
            <w:pPr>
              <w:keepNext w:val="0"/>
              <w:keepLines w:val="0"/>
              <w:suppressLineNumbers w:val="0"/>
              <w:spacing w:before="0" w:beforeAutospacing="0" w:after="0" w:afterAutospacing="0"/>
              <w:ind w:left="0" w:right="0" w:firstLine="210" w:firstLineChars="100"/>
              <w:rPr>
                <w:rFonts w:hint="eastAsia" w:ascii="Times New Roman" w:hAnsi="Times New Roman" w:cs="Times New Roman"/>
                <w:highlight w:val="none"/>
              </w:rPr>
            </w:pPr>
            <w:r>
              <w:rPr>
                <w:rFonts w:hint="eastAsia" w:ascii="Times New Roman" w:hAnsi="Times New Roman" w:cs="Times New Roman"/>
                <w:highlight w:val="none"/>
              </w:rPr>
              <w:t>提供审计报告复印件，并加盖公章，未提供不得分。</w:t>
            </w:r>
          </w:p>
        </w:tc>
      </w:tr>
      <w:tr w14:paraId="66979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5" w:hRule="atLeast"/>
          <w:jc w:val="center"/>
        </w:trPr>
        <w:tc>
          <w:tcPr>
            <w:tcW w:w="1524" w:type="dxa"/>
            <w:noWrap w:val="0"/>
            <w:vAlign w:val="center"/>
          </w:tcPr>
          <w:p w14:paraId="68148C0C">
            <w:pPr>
              <w:keepNext w:val="0"/>
              <w:keepLines w:val="0"/>
              <w:suppressLineNumbers w:val="0"/>
              <w:spacing w:before="0" w:beforeAutospacing="0" w:after="0" w:afterAutospacing="0"/>
              <w:ind w:left="0" w:right="0"/>
              <w:jc w:val="center"/>
              <w:rPr>
                <w:rFonts w:hint="eastAsia" w:ascii="宋体" w:hAnsi="宋体" w:cs="宋体"/>
                <w:szCs w:val="21"/>
                <w:highlight w:val="none"/>
                <w:lang w:val="zh-CN"/>
              </w:rPr>
            </w:pPr>
            <w:r>
              <w:rPr>
                <w:rFonts w:hint="eastAsia" w:ascii="Times New Roman" w:hAnsi="Times New Roman" w:cs="Times New Roman"/>
                <w:highlight w:val="none"/>
              </w:rPr>
              <w:t>售后服务方案（</w:t>
            </w:r>
            <w:r>
              <w:rPr>
                <w:rFonts w:hint="eastAsia" w:ascii="Times New Roman" w:hAnsi="Times New Roman" w:cs="Times New Roman"/>
                <w:highlight w:val="none"/>
                <w:lang w:val="en-US" w:eastAsia="zh-CN"/>
              </w:rPr>
              <w:t xml:space="preserve">15                    </w:t>
            </w:r>
            <w:r>
              <w:rPr>
                <w:rFonts w:hint="eastAsia" w:ascii="Times New Roman" w:hAnsi="Times New Roman" w:cs="Times New Roman"/>
                <w:highlight w:val="none"/>
              </w:rPr>
              <w:t>分）</w:t>
            </w:r>
          </w:p>
        </w:tc>
        <w:tc>
          <w:tcPr>
            <w:tcW w:w="7256" w:type="dxa"/>
            <w:gridSpan w:val="3"/>
            <w:noWrap w:val="0"/>
            <w:vAlign w:val="center"/>
          </w:tcPr>
          <w:p w14:paraId="3E0D90C6">
            <w:pPr>
              <w:keepNext w:val="0"/>
              <w:keepLines w:val="0"/>
              <w:suppressLineNumbers w:val="0"/>
              <w:spacing w:before="0" w:beforeAutospacing="0" w:after="0" w:afterAutospacing="0"/>
              <w:ind w:left="0" w:right="0" w:firstLine="420" w:firstLineChars="200"/>
              <w:rPr>
                <w:rFonts w:hint="default" w:ascii="Times New Roman" w:hAnsi="Times New Roman" w:cs="Times New Roman"/>
                <w:highlight w:val="none"/>
              </w:rPr>
            </w:pPr>
            <w:r>
              <w:rPr>
                <w:rFonts w:hint="default" w:ascii="Times New Roman" w:hAnsi="Times New Roman" w:cs="Times New Roman"/>
                <w:highlight w:val="none"/>
              </w:rPr>
              <w:t>后续服务和承诺①后期服务质量保障、②后期服务方式、③后期人员配置等</w:t>
            </w:r>
            <w:r>
              <w:rPr>
                <w:rFonts w:hint="eastAsia" w:ascii="宋体" w:hAnsi="宋体" w:cs="宋体"/>
                <w:szCs w:val="21"/>
                <w:highlight w:val="none"/>
              </w:rPr>
              <w:t>方案符合磋商文件要求，内容齐全无缺陷得15分，缺少一项内容扣5分，每有一处缺陷(内容不完善，分析不够全面，理解存在偏差等)扣2.5分。</w:t>
            </w:r>
          </w:p>
        </w:tc>
      </w:tr>
    </w:tbl>
    <w:p w14:paraId="75E0D40E">
      <w:pPr>
        <w:pStyle w:val="2"/>
        <w:rPr>
          <w:rFonts w:hint="default"/>
          <w:lang w:val="en-US" w:eastAsia="zh-CN"/>
        </w:rPr>
      </w:pPr>
    </w:p>
    <w:p w14:paraId="218541FD">
      <w:pPr>
        <w:keepNext w:val="0"/>
        <w:keepLines w:val="0"/>
        <w:pageBreakBefore w:val="0"/>
        <w:tabs>
          <w:tab w:val="left" w:pos="851"/>
        </w:tabs>
        <w:kinsoku/>
        <w:overflowPunct/>
        <w:topLinePunct w:val="0"/>
        <w:bidi w:val="0"/>
        <w:adjustRightInd w:val="0"/>
        <w:snapToGrid w:val="0"/>
        <w:spacing w:line="360" w:lineRule="auto"/>
        <w:ind w:firstLine="422" w:firstLineChars="200"/>
        <w:jc w:val="left"/>
        <w:textAlignment w:val="auto"/>
        <w:outlineLvl w:val="9"/>
        <w:rPr>
          <w:color w:val="auto"/>
          <w:highlight w:val="none"/>
        </w:rPr>
      </w:pPr>
      <w:r>
        <w:rPr>
          <w:rFonts w:hint="eastAsia"/>
          <w:b/>
          <w:bCs/>
          <w:color w:val="auto"/>
          <w:szCs w:val="21"/>
          <w:highlight w:val="none"/>
        </w:rPr>
        <w:t>备注</w:t>
      </w:r>
      <w:r>
        <w:rPr>
          <w:rFonts w:hint="eastAsia"/>
          <w:b/>
          <w:bCs/>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b/>
          <w:bCs/>
          <w:color w:val="auto"/>
          <w:szCs w:val="21"/>
          <w:highlight w:val="none"/>
        </w:rPr>
        <w:t>评分的取值按四舍五入法，保留小数点后两位。本表中要求提供的复印件材料，均需加盖供应商单位公章，否则将不认可该项复印件材料的有效性。</w:t>
      </w:r>
    </w:p>
    <w:p w14:paraId="00AE59A5">
      <w:pPr>
        <w:keepNext w:val="0"/>
        <w:keepLines w:val="0"/>
        <w:pageBreakBefore w:val="0"/>
        <w:tabs>
          <w:tab w:val="left" w:pos="851"/>
        </w:tabs>
        <w:kinsoku/>
        <w:overflowPunct/>
        <w:topLinePunct w:val="0"/>
        <w:bidi w:val="0"/>
        <w:adjustRightInd w:val="0"/>
        <w:snapToGrid w:val="0"/>
        <w:spacing w:line="360" w:lineRule="auto"/>
        <w:ind w:firstLine="482" w:firstLineChars="200"/>
        <w:jc w:val="left"/>
        <w:textAlignment w:val="auto"/>
        <w:outlineLvl w:val="9"/>
        <w:rPr>
          <w:rFonts w:hint="eastAsia" w:ascii="宋体" w:hAnsi="宋体" w:cs="宋体"/>
          <w:color w:val="auto"/>
          <w:sz w:val="24"/>
          <w:highlight w:val="none"/>
        </w:rPr>
      </w:pPr>
      <w:r>
        <w:rPr>
          <w:rFonts w:hint="eastAsia" w:ascii="宋体" w:hAnsi="宋体" w:cs="宋体"/>
          <w:b/>
          <w:color w:val="auto"/>
          <w:sz w:val="24"/>
          <w:highlight w:val="none"/>
        </w:rPr>
        <w:t>4.磋商纪律及注意事项</w:t>
      </w:r>
      <w:bookmarkEnd w:id="107"/>
      <w:bookmarkEnd w:id="108"/>
      <w:bookmarkEnd w:id="109"/>
    </w:p>
    <w:p w14:paraId="4243218B">
      <w:pPr>
        <w:keepNext w:val="0"/>
        <w:keepLines w:val="0"/>
        <w:pageBreakBefore w:val="0"/>
        <w:tabs>
          <w:tab w:val="left" w:pos="851"/>
        </w:tabs>
        <w:kinsoku/>
        <w:overflowPunct/>
        <w:topLinePunct w:val="0"/>
        <w:bidi w:val="0"/>
        <w:adjustRightInd w:val="0"/>
        <w:snapToGrid w:val="0"/>
        <w:spacing w:line="360" w:lineRule="auto"/>
        <w:ind w:firstLine="360" w:firstLineChars="15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4.1磋商小组内部讨论的情况和意见必须保密，任何人不得以任何形式透露给供应商或与供应商有关的单位或个人。</w:t>
      </w:r>
    </w:p>
    <w:p w14:paraId="599BDDF0">
      <w:pPr>
        <w:keepNext w:val="0"/>
        <w:keepLines w:val="0"/>
        <w:pageBreakBefore w:val="0"/>
        <w:tabs>
          <w:tab w:val="left" w:pos="851"/>
        </w:tabs>
        <w:kinsoku/>
        <w:overflowPunct/>
        <w:topLinePunct w:val="0"/>
        <w:bidi w:val="0"/>
        <w:adjustRightInd w:val="0"/>
        <w:snapToGrid w:val="0"/>
        <w:spacing w:line="360" w:lineRule="auto"/>
        <w:ind w:firstLine="360" w:firstLineChars="15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4.2在磋商过程中，供应商不得以任何形式对磋商小组成员进行旨在影响磋商结果的私下接触，否则将取消其参与磋商的资格。</w:t>
      </w:r>
    </w:p>
    <w:p w14:paraId="550CDC86">
      <w:pPr>
        <w:keepNext w:val="0"/>
        <w:keepLines w:val="0"/>
        <w:pageBreakBefore w:val="0"/>
        <w:tabs>
          <w:tab w:val="left" w:pos="851"/>
        </w:tabs>
        <w:kinsoku/>
        <w:overflowPunct/>
        <w:topLinePunct w:val="0"/>
        <w:bidi w:val="0"/>
        <w:adjustRightInd w:val="0"/>
        <w:snapToGrid w:val="0"/>
        <w:spacing w:line="360" w:lineRule="auto"/>
        <w:ind w:firstLine="360" w:firstLineChars="15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4.3对各供应商的商业秘密，磋商小组成员应予以保密，不得泄露给其他供应商。</w:t>
      </w:r>
    </w:p>
    <w:p w14:paraId="00FB9803">
      <w:pPr>
        <w:keepNext w:val="0"/>
        <w:keepLines w:val="0"/>
        <w:pageBreakBefore w:val="0"/>
        <w:tabs>
          <w:tab w:val="left" w:pos="851"/>
        </w:tabs>
        <w:kinsoku/>
        <w:overflowPunct/>
        <w:topLinePunct w:val="0"/>
        <w:bidi w:val="0"/>
        <w:adjustRightInd w:val="0"/>
        <w:snapToGrid w:val="0"/>
        <w:spacing w:line="360" w:lineRule="auto"/>
        <w:ind w:firstLine="360" w:firstLineChars="15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4.4 磋商小组独立评判，推荐成交候选人，并写出书面报告。</w:t>
      </w:r>
    </w:p>
    <w:p w14:paraId="28BD03D1">
      <w:pPr>
        <w:keepNext w:val="0"/>
        <w:keepLines w:val="0"/>
        <w:pageBreakBefore w:val="0"/>
        <w:tabs>
          <w:tab w:val="left" w:pos="851"/>
        </w:tabs>
        <w:kinsoku/>
        <w:overflowPunct/>
        <w:topLinePunct w:val="0"/>
        <w:bidi w:val="0"/>
        <w:adjustRightInd w:val="0"/>
        <w:snapToGrid w:val="0"/>
        <w:spacing w:line="360" w:lineRule="auto"/>
        <w:ind w:firstLine="360" w:firstLineChars="15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4.5 磋商小组可根据需要对供应商进行实地考察。</w:t>
      </w:r>
    </w:p>
    <w:p w14:paraId="28219C77">
      <w:pPr>
        <w:keepNext w:val="0"/>
        <w:keepLines w:val="0"/>
        <w:pageBreakBefore w:val="0"/>
        <w:tabs>
          <w:tab w:val="left" w:pos="7665"/>
        </w:tabs>
        <w:kinsoku/>
        <w:overflowPunct/>
        <w:topLinePunct w:val="0"/>
        <w:bidi w:val="0"/>
        <w:adjustRightInd w:val="0"/>
        <w:snapToGrid w:val="0"/>
        <w:spacing w:line="360" w:lineRule="auto"/>
        <w:ind w:firstLine="360" w:firstLineChars="150"/>
        <w:jc w:val="left"/>
        <w:textAlignment w:val="auto"/>
        <w:outlineLvl w:val="9"/>
        <w:rPr>
          <w:rFonts w:hint="eastAsia" w:ascii="宋体" w:hAnsi="宋体" w:cs="宋体"/>
          <w:color w:val="auto"/>
          <w:sz w:val="24"/>
          <w:highlight w:val="none"/>
        </w:rPr>
      </w:pPr>
      <w:bookmarkStart w:id="110" w:name="_Toc17129"/>
      <w:bookmarkStart w:id="111" w:name="_Toc17386"/>
      <w:bookmarkStart w:id="112" w:name="_Toc2593"/>
      <w:r>
        <w:rPr>
          <w:rFonts w:hint="eastAsia" w:ascii="宋体" w:hAnsi="宋体" w:cs="宋体"/>
          <w:color w:val="auto"/>
          <w:sz w:val="24"/>
          <w:highlight w:val="none"/>
        </w:rPr>
        <w:t>5.</w:t>
      </w:r>
      <w:r>
        <w:rPr>
          <w:rFonts w:hint="eastAsia" w:ascii="宋体" w:hAnsi="宋体" w:cs="宋体"/>
          <w:b/>
          <w:color w:val="auto"/>
          <w:sz w:val="24"/>
          <w:highlight w:val="none"/>
        </w:rPr>
        <w:t>磋商小组在政府采购活动中承担以下义务：</w:t>
      </w:r>
      <w:bookmarkEnd w:id="110"/>
      <w:bookmarkEnd w:id="111"/>
      <w:bookmarkEnd w:id="112"/>
    </w:p>
    <w:p w14:paraId="2182FA90">
      <w:pPr>
        <w:keepNext w:val="0"/>
        <w:keepLines w:val="0"/>
        <w:pageBreakBefore w:val="0"/>
        <w:tabs>
          <w:tab w:val="left" w:pos="7665"/>
        </w:tabs>
        <w:kinsoku/>
        <w:overflowPunct/>
        <w:topLinePunct w:val="0"/>
        <w:bidi w:val="0"/>
        <w:adjustRightInd w:val="0"/>
        <w:snapToGrid w:val="0"/>
        <w:spacing w:line="360" w:lineRule="auto"/>
        <w:ind w:firstLine="360" w:firstLineChars="15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（一）遵守评审工作纪律；</w:t>
      </w:r>
    </w:p>
    <w:p w14:paraId="238B6733">
      <w:pPr>
        <w:keepNext w:val="0"/>
        <w:keepLines w:val="0"/>
        <w:pageBreakBefore w:val="0"/>
        <w:tabs>
          <w:tab w:val="left" w:pos="7665"/>
        </w:tabs>
        <w:kinsoku/>
        <w:overflowPunct/>
        <w:topLinePunct w:val="0"/>
        <w:bidi w:val="0"/>
        <w:adjustRightInd w:val="0"/>
        <w:snapToGrid w:val="0"/>
        <w:spacing w:line="360" w:lineRule="auto"/>
        <w:ind w:firstLine="360" w:firstLineChars="15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（二）按照客观、公正、审慎的原则，根据磋商文件规定的评审程序、评审方法和评审标准进行独立评审；</w:t>
      </w:r>
    </w:p>
    <w:p w14:paraId="375F5442">
      <w:pPr>
        <w:keepNext w:val="0"/>
        <w:keepLines w:val="0"/>
        <w:pageBreakBefore w:val="0"/>
        <w:tabs>
          <w:tab w:val="left" w:pos="7665"/>
        </w:tabs>
        <w:kinsoku/>
        <w:overflowPunct/>
        <w:topLinePunct w:val="0"/>
        <w:bidi w:val="0"/>
        <w:adjustRightInd w:val="0"/>
        <w:snapToGrid w:val="0"/>
        <w:spacing w:line="360" w:lineRule="auto"/>
        <w:ind w:firstLine="360" w:firstLineChars="15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（三）不得泄露评审文件、评审情况和在评审过程中获悉的商业秘密；</w:t>
      </w:r>
    </w:p>
    <w:p w14:paraId="63ACDD8F">
      <w:pPr>
        <w:keepNext w:val="0"/>
        <w:keepLines w:val="0"/>
        <w:pageBreakBefore w:val="0"/>
        <w:tabs>
          <w:tab w:val="left" w:pos="7665"/>
        </w:tabs>
        <w:kinsoku/>
        <w:overflowPunct/>
        <w:topLinePunct w:val="0"/>
        <w:bidi w:val="0"/>
        <w:adjustRightInd w:val="0"/>
        <w:snapToGrid w:val="0"/>
        <w:spacing w:line="360" w:lineRule="auto"/>
        <w:ind w:firstLine="360" w:firstLineChars="15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（四）及时向财政部门报告评审过程中发现的采购人、采购代理机构向评审专家做倾向性、误导性的解释或者说明，以及供应商行贿、提供虚假材料或者串通等违法行为；</w:t>
      </w:r>
    </w:p>
    <w:p w14:paraId="1BEBD451">
      <w:pPr>
        <w:keepNext w:val="0"/>
        <w:keepLines w:val="0"/>
        <w:pageBreakBefore w:val="0"/>
        <w:tabs>
          <w:tab w:val="left" w:pos="7665"/>
        </w:tabs>
        <w:kinsoku/>
        <w:overflowPunct/>
        <w:topLinePunct w:val="0"/>
        <w:bidi w:val="0"/>
        <w:adjustRightInd w:val="0"/>
        <w:snapToGrid w:val="0"/>
        <w:spacing w:line="360" w:lineRule="auto"/>
        <w:ind w:firstLine="360" w:firstLineChars="15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（五）发现磋商文件内容违反国家有关强制性规定或者磋商文件存在歧义、重大缺陷导致评审工作无法进行时，停止评审并向采购人或者采购代理机构书面说明情况；</w:t>
      </w:r>
    </w:p>
    <w:p w14:paraId="43CA35B1">
      <w:pPr>
        <w:keepNext w:val="0"/>
        <w:keepLines w:val="0"/>
        <w:pageBreakBefore w:val="0"/>
        <w:tabs>
          <w:tab w:val="left" w:pos="7665"/>
        </w:tabs>
        <w:kinsoku/>
        <w:overflowPunct/>
        <w:topLinePunct w:val="0"/>
        <w:bidi w:val="0"/>
        <w:adjustRightInd w:val="0"/>
        <w:snapToGrid w:val="0"/>
        <w:spacing w:line="360" w:lineRule="auto"/>
        <w:ind w:firstLine="360" w:firstLineChars="15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（六）及时向财政、监察等部门举报在评审过程中受到非法干预的情况；</w:t>
      </w:r>
    </w:p>
    <w:p w14:paraId="64CD7809">
      <w:pPr>
        <w:keepNext w:val="0"/>
        <w:keepLines w:val="0"/>
        <w:pageBreakBefore w:val="0"/>
        <w:tabs>
          <w:tab w:val="left" w:pos="7665"/>
        </w:tabs>
        <w:kinsoku/>
        <w:overflowPunct/>
        <w:topLinePunct w:val="0"/>
        <w:bidi w:val="0"/>
        <w:adjustRightInd w:val="0"/>
        <w:snapToGrid w:val="0"/>
        <w:spacing w:line="360" w:lineRule="auto"/>
        <w:ind w:firstLine="360" w:firstLineChars="15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（七）配合答复处理供应商的询问、质疑和投诉等事项；</w:t>
      </w:r>
    </w:p>
    <w:p w14:paraId="59105A3D">
      <w:pPr>
        <w:keepNext w:val="0"/>
        <w:keepLines w:val="0"/>
        <w:pageBreakBefore w:val="0"/>
        <w:tabs>
          <w:tab w:val="left" w:pos="7665"/>
        </w:tabs>
        <w:kinsoku/>
        <w:overflowPunct/>
        <w:topLinePunct w:val="0"/>
        <w:bidi w:val="0"/>
        <w:adjustRightInd w:val="0"/>
        <w:snapToGrid w:val="0"/>
        <w:spacing w:line="360" w:lineRule="auto"/>
        <w:ind w:firstLine="360" w:firstLineChars="15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（八）法律、法规和规章规定的其他义务。</w:t>
      </w:r>
    </w:p>
    <w:p w14:paraId="44F07127">
      <w:pPr>
        <w:keepNext w:val="0"/>
        <w:keepLines w:val="0"/>
        <w:pageBreakBefore w:val="0"/>
        <w:tabs>
          <w:tab w:val="left" w:pos="7665"/>
        </w:tabs>
        <w:kinsoku/>
        <w:overflowPunct/>
        <w:topLinePunct w:val="0"/>
        <w:bidi w:val="0"/>
        <w:adjustRightInd w:val="0"/>
        <w:snapToGrid w:val="0"/>
        <w:spacing w:line="360" w:lineRule="auto"/>
        <w:ind w:firstLine="361" w:firstLineChars="150"/>
        <w:jc w:val="left"/>
        <w:textAlignment w:val="auto"/>
        <w:outlineLvl w:val="9"/>
        <w:rPr>
          <w:rFonts w:hint="eastAsia" w:ascii="宋体" w:hAnsi="宋体" w:cs="宋体"/>
          <w:color w:val="auto"/>
          <w:sz w:val="24"/>
          <w:highlight w:val="none"/>
        </w:rPr>
      </w:pPr>
      <w:bookmarkStart w:id="113" w:name="_Toc31178"/>
      <w:bookmarkStart w:id="114" w:name="_Toc4381"/>
      <w:bookmarkStart w:id="115" w:name="_Toc31774"/>
      <w:r>
        <w:rPr>
          <w:rFonts w:hint="eastAsia" w:ascii="宋体" w:hAnsi="宋体" w:cs="宋体"/>
          <w:b/>
          <w:color w:val="auto"/>
          <w:sz w:val="24"/>
          <w:highlight w:val="none"/>
        </w:rPr>
        <w:t>6.评审专家在政府采购活动中应当遵守以下工作纪律：</w:t>
      </w:r>
      <w:bookmarkEnd w:id="113"/>
      <w:bookmarkEnd w:id="114"/>
      <w:bookmarkEnd w:id="115"/>
    </w:p>
    <w:p w14:paraId="612FFEB7">
      <w:pPr>
        <w:keepNext w:val="0"/>
        <w:keepLines w:val="0"/>
        <w:pageBreakBefore w:val="0"/>
        <w:tabs>
          <w:tab w:val="left" w:pos="7665"/>
        </w:tabs>
        <w:kinsoku/>
        <w:overflowPunct/>
        <w:topLinePunct w:val="0"/>
        <w:bidi w:val="0"/>
        <w:adjustRightInd w:val="0"/>
        <w:snapToGrid w:val="0"/>
        <w:spacing w:line="360" w:lineRule="auto"/>
        <w:ind w:firstLine="360" w:firstLineChars="15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（一）不得参加与自己有《中华人民共和国政府采购法实施条例》第九条规定的利害关系的政府采购项目的评标活动。发现参加了与自己有利害关系的评审活动，须主动提出回避，退出评审；</w:t>
      </w:r>
    </w:p>
    <w:p w14:paraId="76095D04">
      <w:pPr>
        <w:keepNext w:val="0"/>
        <w:keepLines w:val="0"/>
        <w:pageBreakBefore w:val="0"/>
        <w:tabs>
          <w:tab w:val="left" w:pos="7665"/>
        </w:tabs>
        <w:kinsoku/>
        <w:overflowPunct/>
        <w:topLinePunct w:val="0"/>
        <w:bidi w:val="0"/>
        <w:adjustRightInd w:val="0"/>
        <w:snapToGrid w:val="0"/>
        <w:spacing w:line="360" w:lineRule="auto"/>
        <w:ind w:firstLine="360" w:firstLineChars="15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（二）评审前，应当将通讯工具或者相关电子设备交由采购代理机构统一保管；</w:t>
      </w:r>
    </w:p>
    <w:p w14:paraId="28C3C7B7">
      <w:pPr>
        <w:keepNext w:val="0"/>
        <w:keepLines w:val="0"/>
        <w:pageBreakBefore w:val="0"/>
        <w:tabs>
          <w:tab w:val="left" w:pos="7665"/>
        </w:tabs>
        <w:kinsoku/>
        <w:overflowPunct/>
        <w:topLinePunct w:val="0"/>
        <w:bidi w:val="0"/>
        <w:adjustRightInd w:val="0"/>
        <w:snapToGrid w:val="0"/>
        <w:spacing w:line="360" w:lineRule="auto"/>
        <w:ind w:firstLine="360" w:firstLineChars="15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（三）评审过程中，不得与外界联系，因发生不可预见情况，确实需要与外界联系的，应当在监督人员监督之下办理；</w:t>
      </w:r>
    </w:p>
    <w:p w14:paraId="7E515391">
      <w:pPr>
        <w:keepNext w:val="0"/>
        <w:keepLines w:val="0"/>
        <w:pageBreakBefore w:val="0"/>
        <w:tabs>
          <w:tab w:val="left" w:pos="7665"/>
        </w:tabs>
        <w:kinsoku/>
        <w:overflowPunct/>
        <w:topLinePunct w:val="0"/>
        <w:bidi w:val="0"/>
        <w:adjustRightInd w:val="0"/>
        <w:snapToGrid w:val="0"/>
        <w:spacing w:line="360" w:lineRule="auto"/>
        <w:ind w:firstLine="360" w:firstLineChars="15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2627ECA2">
      <w:pPr>
        <w:keepNext w:val="0"/>
        <w:keepLines w:val="0"/>
        <w:pageBreakBefore w:val="0"/>
        <w:tabs>
          <w:tab w:val="left" w:pos="7665"/>
        </w:tabs>
        <w:kinsoku/>
        <w:overflowPunct/>
        <w:topLinePunct w:val="0"/>
        <w:bidi w:val="0"/>
        <w:adjustRightInd w:val="0"/>
        <w:snapToGrid w:val="0"/>
        <w:spacing w:line="360" w:lineRule="auto"/>
        <w:ind w:firstLine="360" w:firstLineChars="15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（五）在评审过程中和评审结束后，不得记录、复制或带走任何评审资料，不得向外界透露评审内容；</w:t>
      </w:r>
    </w:p>
    <w:p w14:paraId="69065C3D">
      <w:pPr>
        <w:keepNext w:val="0"/>
        <w:keepLines w:val="0"/>
        <w:pageBreakBefore w:val="0"/>
        <w:tabs>
          <w:tab w:val="left" w:pos="7665"/>
        </w:tabs>
        <w:kinsoku/>
        <w:overflowPunct/>
        <w:topLinePunct w:val="0"/>
        <w:bidi w:val="0"/>
        <w:adjustRightInd w:val="0"/>
        <w:snapToGrid w:val="0"/>
        <w:spacing w:line="360" w:lineRule="auto"/>
        <w:ind w:firstLine="360" w:firstLineChars="15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（六）评审现场服从采购代理机构工作人员的管理，接受现场监督人员的合法监督；</w:t>
      </w:r>
    </w:p>
    <w:p w14:paraId="23D408ED">
      <w:pPr>
        <w:keepNext w:val="0"/>
        <w:keepLines w:val="0"/>
        <w:pageBreakBefore w:val="0"/>
        <w:tabs>
          <w:tab w:val="left" w:pos="7665"/>
        </w:tabs>
        <w:kinsoku/>
        <w:overflowPunct/>
        <w:topLinePunct w:val="0"/>
        <w:bidi w:val="0"/>
        <w:adjustRightInd w:val="0"/>
        <w:snapToGrid w:val="0"/>
        <w:spacing w:line="360" w:lineRule="auto"/>
        <w:ind w:firstLine="360" w:firstLineChars="15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（七）遵守有关廉洁自律规定，不得私下接触供应商，不得收受供应商及有关业务单位和个人的财物或好处，不得接受采购代理机构的请托。</w:t>
      </w:r>
    </w:p>
    <w:p w14:paraId="1F55153E">
      <w:pPr>
        <w:keepNext w:val="0"/>
        <w:keepLines w:val="0"/>
        <w:pageBreakBefore w:val="0"/>
        <w:widowControl w:val="0"/>
        <w:tabs>
          <w:tab w:val="left" w:pos="7665"/>
        </w:tabs>
        <w:kinsoku/>
        <w:wordWrap/>
        <w:overflowPunct/>
        <w:topLinePunct w:val="0"/>
        <w:autoSpaceDE/>
        <w:autoSpaceDN/>
        <w:bidi w:val="0"/>
        <w:adjustRightInd w:val="0"/>
        <w:snapToGrid w:val="0"/>
        <w:spacing w:line="360" w:lineRule="auto"/>
        <w:ind w:firstLine="360" w:firstLineChars="150"/>
        <w:jc w:val="center"/>
        <w:textAlignment w:val="auto"/>
        <w:outlineLvl w:val="0"/>
        <w:rPr>
          <w:rFonts w:hint="eastAsia" w:ascii="宋体" w:hAnsi="宋体" w:cs="宋体"/>
          <w:b/>
          <w:color w:val="auto"/>
          <w:sz w:val="32"/>
          <w:szCs w:val="32"/>
          <w:highlight w:val="none"/>
        </w:rPr>
      </w:pPr>
      <w:r>
        <w:rPr>
          <w:rFonts w:hint="eastAsia" w:ascii="宋体" w:hAnsi="宋体" w:cs="宋体"/>
          <w:color w:val="auto"/>
          <w:sz w:val="24"/>
          <w:highlight w:val="none"/>
        </w:rPr>
        <w:br w:type="page"/>
      </w:r>
      <w:bookmarkStart w:id="116" w:name="_Toc5100"/>
      <w:bookmarkStart w:id="117" w:name="_Toc6034"/>
      <w:bookmarkStart w:id="118" w:name="_Toc27601"/>
      <w:bookmarkStart w:id="119" w:name="_Toc20762"/>
      <w:bookmarkStart w:id="120" w:name="_Toc31069"/>
      <w:bookmarkStart w:id="121" w:name="_Toc3298"/>
      <w:bookmarkStart w:id="122" w:name="_Toc1145357285"/>
      <w:bookmarkStart w:id="123" w:name="_Toc9280"/>
      <w:bookmarkStart w:id="124" w:name="_Toc2390"/>
      <w:r>
        <w:rPr>
          <w:rFonts w:hint="eastAsia" w:ascii="宋体" w:hAnsi="宋体" w:cs="宋体"/>
          <w:b/>
          <w:color w:val="auto"/>
          <w:sz w:val="32"/>
          <w:szCs w:val="32"/>
          <w:highlight w:val="none"/>
        </w:rPr>
        <w:t>第十章</w:t>
      </w:r>
      <w:bookmarkEnd w:id="116"/>
      <w:bookmarkEnd w:id="117"/>
      <w:r>
        <w:rPr>
          <w:rFonts w:hint="eastAsia" w:ascii="宋体" w:hAnsi="宋体" w:cs="宋体"/>
          <w:b/>
          <w:color w:val="auto"/>
          <w:sz w:val="32"/>
          <w:szCs w:val="32"/>
          <w:highlight w:val="none"/>
        </w:rPr>
        <w:t xml:space="preserve">  采购合同(草案)</w:t>
      </w:r>
      <w:bookmarkEnd w:id="118"/>
      <w:bookmarkEnd w:id="119"/>
      <w:bookmarkEnd w:id="120"/>
      <w:bookmarkEnd w:id="121"/>
      <w:bookmarkEnd w:id="122"/>
      <w:bookmarkEnd w:id="123"/>
      <w:bookmarkEnd w:id="124"/>
    </w:p>
    <w:p w14:paraId="4E0152CE">
      <w:pPr>
        <w:pageBreakBefore w:val="0"/>
        <w:widowControl w:val="0"/>
        <w:kinsoku/>
        <w:wordWrap/>
        <w:overflowPunct/>
        <w:topLinePunct w:val="0"/>
        <w:autoSpaceDE/>
        <w:autoSpaceDN/>
        <w:bidi w:val="0"/>
        <w:adjustRightInd/>
        <w:snapToGrid/>
        <w:spacing w:line="360" w:lineRule="auto"/>
        <w:ind w:firstLine="600" w:firstLineChars="250"/>
        <w:jc w:val="left"/>
        <w:textAlignment w:val="auto"/>
        <w:outlineLvl w:val="9"/>
        <w:rPr>
          <w:rFonts w:hint="eastAsia" w:ascii="宋体" w:hAnsi="宋体" w:cs="宋体"/>
          <w:color w:val="auto"/>
          <w:sz w:val="24"/>
          <w:highlight w:val="none"/>
          <w:lang w:eastAsia="zh-CN"/>
        </w:rPr>
      </w:pPr>
      <w:bookmarkStart w:id="125" w:name="_Hlt101846155"/>
      <w:bookmarkEnd w:id="125"/>
      <w:r>
        <w:rPr>
          <w:rFonts w:hint="eastAsia" w:ascii="宋体" w:hAnsi="宋体" w:cs="宋体"/>
          <w:color w:val="auto"/>
          <w:sz w:val="24"/>
          <w:highlight w:val="none"/>
          <w:lang w:eastAsia="zh-CN"/>
        </w:rPr>
        <w:t>本项目采购合同（草案）以《建设工程造价咨询合同（示范文本）》（GF-2015-0212，住房和城乡建设部、原国家工商行政管理总局联合发布）为基础制定。</w:t>
      </w:r>
    </w:p>
    <w:p w14:paraId="6BE6CD27">
      <w:pPr>
        <w:pageBreakBefore w:val="0"/>
        <w:widowControl w:val="0"/>
        <w:kinsoku/>
        <w:wordWrap/>
        <w:overflowPunct/>
        <w:topLinePunct w:val="0"/>
        <w:autoSpaceDE/>
        <w:autoSpaceDN/>
        <w:bidi w:val="0"/>
        <w:adjustRightInd/>
        <w:snapToGrid/>
        <w:spacing w:line="360" w:lineRule="auto"/>
        <w:ind w:firstLine="600" w:firstLineChars="250"/>
        <w:jc w:val="left"/>
        <w:textAlignment w:val="auto"/>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其中通用条件部分直接沿用该示范文本的通用条款，本磋商文件不再重复列示全文；专用条件及政府采购补充条款按照本次磋商文件第五章采购需求及相关要求约定，</w:t>
      </w:r>
      <w:r>
        <w:rPr>
          <w:rStyle w:val="35"/>
          <w:rFonts w:ascii="宋体" w:hAnsi="宋体" w:eastAsia="宋体" w:cs="宋体"/>
          <w:color w:val="000000"/>
          <w:sz w:val="24"/>
          <w:szCs w:val="24"/>
        </w:rPr>
        <w:t>本次磋商文件</w:t>
      </w:r>
      <w:r>
        <w:rPr>
          <w:rStyle w:val="35"/>
          <w:rFonts w:hint="eastAsia" w:ascii="宋体" w:hAnsi="宋体" w:eastAsia="宋体" w:cs="宋体"/>
          <w:color w:val="000000"/>
          <w:sz w:val="24"/>
          <w:szCs w:val="24"/>
        </w:rPr>
        <w:t>第五章  采购项目技术、服务、政府采购履约主要条款及其他商务要求</w:t>
      </w:r>
      <w:r>
        <w:rPr>
          <w:rStyle w:val="35"/>
          <w:rFonts w:hint="eastAsia" w:ascii="宋体" w:hAnsi="宋体" w:cs="宋体"/>
          <w:color w:val="000000"/>
          <w:sz w:val="24"/>
          <w:szCs w:val="24"/>
          <w:lang w:val="en-US" w:eastAsia="zh-CN"/>
        </w:rPr>
        <w:t>写入合同</w:t>
      </w:r>
      <w:r>
        <w:rPr>
          <w:rFonts w:ascii="宋体" w:hAnsi="宋体" w:eastAsia="宋体" w:cs="宋体"/>
          <w:sz w:val="24"/>
          <w:szCs w:val="24"/>
        </w:rPr>
        <w:t>，与专用条件具有同等法律效力。</w:t>
      </w:r>
    </w:p>
    <w:sectPr>
      <w:footerReference r:id="rId4"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E4F7B">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491B8D">
                          <w:pPr>
                            <w:pStyle w:val="20"/>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6A491B8D">
                    <w:pPr>
                      <w:pStyle w:val="2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ED0D">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90296D"/>
    <w:multiLevelType w:val="singleLevel"/>
    <w:tmpl w:val="E690296D"/>
    <w:lvl w:ilvl="0" w:tentative="0">
      <w:start w:val="2"/>
      <w:numFmt w:val="decimal"/>
      <w:lvlText w:val="%1."/>
      <w:lvlJc w:val="left"/>
      <w:pPr>
        <w:tabs>
          <w:tab w:val="left" w:pos="312"/>
        </w:tabs>
      </w:pPr>
    </w:lvl>
  </w:abstractNum>
  <w:abstractNum w:abstractNumId="1">
    <w:nsid w:val="E7F510DC"/>
    <w:multiLevelType w:val="singleLevel"/>
    <w:tmpl w:val="E7F510DC"/>
    <w:lvl w:ilvl="0" w:tentative="0">
      <w:start w:val="2"/>
      <w:numFmt w:val="chineseCounting"/>
      <w:suff w:val="nothing"/>
      <w:lvlText w:val="%1、"/>
      <w:lvlJc w:val="left"/>
      <w:rPr>
        <w:rFonts w:hint="eastAsia"/>
      </w:rPr>
    </w:lvl>
  </w:abstractNum>
  <w:abstractNum w:abstractNumId="2">
    <w:nsid w:val="14D79944"/>
    <w:multiLevelType w:val="singleLevel"/>
    <w:tmpl w:val="14D79944"/>
    <w:lvl w:ilvl="0" w:tentative="0">
      <w:start w:val="3"/>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iMmIwZTIzNjI2NDU0MWZkNjY5OTg1NjljNjBhODYifQ=="/>
    <w:docVar w:name="KSO_WPS_MARK_KEY" w:val="6bbacce7-8ceb-4ac0-a830-07f569354734"/>
  </w:docVars>
  <w:rsids>
    <w:rsidRoot w:val="007C12CC"/>
    <w:rsid w:val="00001660"/>
    <w:rsid w:val="00004B89"/>
    <w:rsid w:val="00011499"/>
    <w:rsid w:val="00013385"/>
    <w:rsid w:val="0001438F"/>
    <w:rsid w:val="00014483"/>
    <w:rsid w:val="00015AD4"/>
    <w:rsid w:val="000176E8"/>
    <w:rsid w:val="00021F2A"/>
    <w:rsid w:val="00022084"/>
    <w:rsid w:val="000222FA"/>
    <w:rsid w:val="0002293A"/>
    <w:rsid w:val="00023E17"/>
    <w:rsid w:val="000246A1"/>
    <w:rsid w:val="00024A16"/>
    <w:rsid w:val="00026E80"/>
    <w:rsid w:val="00030DE6"/>
    <w:rsid w:val="00031286"/>
    <w:rsid w:val="00031558"/>
    <w:rsid w:val="00032335"/>
    <w:rsid w:val="00032783"/>
    <w:rsid w:val="00035948"/>
    <w:rsid w:val="000371FB"/>
    <w:rsid w:val="000408C4"/>
    <w:rsid w:val="00041FE4"/>
    <w:rsid w:val="000451F8"/>
    <w:rsid w:val="000462B4"/>
    <w:rsid w:val="00046697"/>
    <w:rsid w:val="0004677D"/>
    <w:rsid w:val="00047873"/>
    <w:rsid w:val="00050590"/>
    <w:rsid w:val="00051366"/>
    <w:rsid w:val="000523DF"/>
    <w:rsid w:val="000526C6"/>
    <w:rsid w:val="00052B12"/>
    <w:rsid w:val="00053337"/>
    <w:rsid w:val="00054BA4"/>
    <w:rsid w:val="00055034"/>
    <w:rsid w:val="00055C21"/>
    <w:rsid w:val="000567A9"/>
    <w:rsid w:val="00056979"/>
    <w:rsid w:val="00057397"/>
    <w:rsid w:val="00057D2D"/>
    <w:rsid w:val="00061464"/>
    <w:rsid w:val="0006243C"/>
    <w:rsid w:val="0006264C"/>
    <w:rsid w:val="000657E0"/>
    <w:rsid w:val="0006634F"/>
    <w:rsid w:val="0006738D"/>
    <w:rsid w:val="000708BC"/>
    <w:rsid w:val="000727F2"/>
    <w:rsid w:val="000731F0"/>
    <w:rsid w:val="000739F4"/>
    <w:rsid w:val="00073B7E"/>
    <w:rsid w:val="00074138"/>
    <w:rsid w:val="000743DD"/>
    <w:rsid w:val="0007588A"/>
    <w:rsid w:val="00081A37"/>
    <w:rsid w:val="00082B75"/>
    <w:rsid w:val="000834B0"/>
    <w:rsid w:val="000839BF"/>
    <w:rsid w:val="00084183"/>
    <w:rsid w:val="0008602F"/>
    <w:rsid w:val="000867B4"/>
    <w:rsid w:val="00086A4E"/>
    <w:rsid w:val="00087D63"/>
    <w:rsid w:val="00090600"/>
    <w:rsid w:val="00090A00"/>
    <w:rsid w:val="00092B4C"/>
    <w:rsid w:val="000932AA"/>
    <w:rsid w:val="00093ABA"/>
    <w:rsid w:val="000958DC"/>
    <w:rsid w:val="000962DA"/>
    <w:rsid w:val="000A0A47"/>
    <w:rsid w:val="000A1518"/>
    <w:rsid w:val="000A1D01"/>
    <w:rsid w:val="000A2A84"/>
    <w:rsid w:val="000A32C6"/>
    <w:rsid w:val="000A3D02"/>
    <w:rsid w:val="000A3D83"/>
    <w:rsid w:val="000A4196"/>
    <w:rsid w:val="000A42C7"/>
    <w:rsid w:val="000A4B2E"/>
    <w:rsid w:val="000A4EA5"/>
    <w:rsid w:val="000A7857"/>
    <w:rsid w:val="000B07DD"/>
    <w:rsid w:val="000B0E0C"/>
    <w:rsid w:val="000B0F4B"/>
    <w:rsid w:val="000B1C2C"/>
    <w:rsid w:val="000B58C4"/>
    <w:rsid w:val="000B6144"/>
    <w:rsid w:val="000B7FD8"/>
    <w:rsid w:val="000C00DD"/>
    <w:rsid w:val="000C0146"/>
    <w:rsid w:val="000C22DB"/>
    <w:rsid w:val="000C2EFC"/>
    <w:rsid w:val="000C3B13"/>
    <w:rsid w:val="000C405E"/>
    <w:rsid w:val="000C4129"/>
    <w:rsid w:val="000C4762"/>
    <w:rsid w:val="000C562F"/>
    <w:rsid w:val="000C5D2D"/>
    <w:rsid w:val="000C5FC0"/>
    <w:rsid w:val="000D03B4"/>
    <w:rsid w:val="000D0F0A"/>
    <w:rsid w:val="000D1724"/>
    <w:rsid w:val="000D319D"/>
    <w:rsid w:val="000D4073"/>
    <w:rsid w:val="000D4EFB"/>
    <w:rsid w:val="000D705A"/>
    <w:rsid w:val="000D710C"/>
    <w:rsid w:val="000E0A69"/>
    <w:rsid w:val="000E583C"/>
    <w:rsid w:val="000E5D71"/>
    <w:rsid w:val="000E6476"/>
    <w:rsid w:val="000E6CD7"/>
    <w:rsid w:val="000F422B"/>
    <w:rsid w:val="000F430D"/>
    <w:rsid w:val="000F45A9"/>
    <w:rsid w:val="000F6854"/>
    <w:rsid w:val="000F6956"/>
    <w:rsid w:val="000F6CC9"/>
    <w:rsid w:val="00100B7D"/>
    <w:rsid w:val="00100C85"/>
    <w:rsid w:val="00100FCD"/>
    <w:rsid w:val="0010167E"/>
    <w:rsid w:val="00101CB5"/>
    <w:rsid w:val="001033D2"/>
    <w:rsid w:val="00105014"/>
    <w:rsid w:val="0010666F"/>
    <w:rsid w:val="001114EB"/>
    <w:rsid w:val="001116C7"/>
    <w:rsid w:val="00111F41"/>
    <w:rsid w:val="00114DE5"/>
    <w:rsid w:val="00114EBA"/>
    <w:rsid w:val="001150A5"/>
    <w:rsid w:val="001212C2"/>
    <w:rsid w:val="0012276E"/>
    <w:rsid w:val="001239E7"/>
    <w:rsid w:val="00123E53"/>
    <w:rsid w:val="00123FC0"/>
    <w:rsid w:val="00126265"/>
    <w:rsid w:val="00126D87"/>
    <w:rsid w:val="00130002"/>
    <w:rsid w:val="00131F14"/>
    <w:rsid w:val="001329EB"/>
    <w:rsid w:val="00133079"/>
    <w:rsid w:val="001345C8"/>
    <w:rsid w:val="0013590F"/>
    <w:rsid w:val="00136485"/>
    <w:rsid w:val="00136D53"/>
    <w:rsid w:val="00141A54"/>
    <w:rsid w:val="00141D8F"/>
    <w:rsid w:val="00142470"/>
    <w:rsid w:val="0014425B"/>
    <w:rsid w:val="001451F2"/>
    <w:rsid w:val="001464DD"/>
    <w:rsid w:val="001500D3"/>
    <w:rsid w:val="00150BFF"/>
    <w:rsid w:val="00151441"/>
    <w:rsid w:val="00152074"/>
    <w:rsid w:val="00153D4C"/>
    <w:rsid w:val="0015550E"/>
    <w:rsid w:val="00156466"/>
    <w:rsid w:val="00156D44"/>
    <w:rsid w:val="001575FD"/>
    <w:rsid w:val="00157B2D"/>
    <w:rsid w:val="00161AEF"/>
    <w:rsid w:val="00162078"/>
    <w:rsid w:val="0016341A"/>
    <w:rsid w:val="001648CD"/>
    <w:rsid w:val="001652F8"/>
    <w:rsid w:val="00165833"/>
    <w:rsid w:val="00167ED2"/>
    <w:rsid w:val="00170C8C"/>
    <w:rsid w:val="001746B3"/>
    <w:rsid w:val="00175AEB"/>
    <w:rsid w:val="001763A5"/>
    <w:rsid w:val="0018004A"/>
    <w:rsid w:val="001836F5"/>
    <w:rsid w:val="0018382C"/>
    <w:rsid w:val="0018390E"/>
    <w:rsid w:val="00183F9B"/>
    <w:rsid w:val="00185A39"/>
    <w:rsid w:val="00185F2C"/>
    <w:rsid w:val="00186A43"/>
    <w:rsid w:val="00186AEA"/>
    <w:rsid w:val="001876EA"/>
    <w:rsid w:val="00187C36"/>
    <w:rsid w:val="00187D88"/>
    <w:rsid w:val="001902EE"/>
    <w:rsid w:val="0019037D"/>
    <w:rsid w:val="00193802"/>
    <w:rsid w:val="00193E56"/>
    <w:rsid w:val="001961BF"/>
    <w:rsid w:val="00196A94"/>
    <w:rsid w:val="00196B7A"/>
    <w:rsid w:val="001974BF"/>
    <w:rsid w:val="0019756E"/>
    <w:rsid w:val="001A0BE4"/>
    <w:rsid w:val="001A4D34"/>
    <w:rsid w:val="001A67F1"/>
    <w:rsid w:val="001A761A"/>
    <w:rsid w:val="001B053F"/>
    <w:rsid w:val="001B1F0F"/>
    <w:rsid w:val="001B22E9"/>
    <w:rsid w:val="001B334A"/>
    <w:rsid w:val="001B3E78"/>
    <w:rsid w:val="001B4B2D"/>
    <w:rsid w:val="001B799E"/>
    <w:rsid w:val="001C2CAE"/>
    <w:rsid w:val="001C4A5B"/>
    <w:rsid w:val="001C5AF6"/>
    <w:rsid w:val="001C648C"/>
    <w:rsid w:val="001D0F62"/>
    <w:rsid w:val="001D2331"/>
    <w:rsid w:val="001D3913"/>
    <w:rsid w:val="001D4D72"/>
    <w:rsid w:val="001E0521"/>
    <w:rsid w:val="001E0CB9"/>
    <w:rsid w:val="001E148C"/>
    <w:rsid w:val="001E3B05"/>
    <w:rsid w:val="001E5BB0"/>
    <w:rsid w:val="001E6EBF"/>
    <w:rsid w:val="001E6EC9"/>
    <w:rsid w:val="001E6EF9"/>
    <w:rsid w:val="001F035E"/>
    <w:rsid w:val="001F1E7D"/>
    <w:rsid w:val="001F2E29"/>
    <w:rsid w:val="001F492D"/>
    <w:rsid w:val="001F64F5"/>
    <w:rsid w:val="001F79FC"/>
    <w:rsid w:val="001F7DBD"/>
    <w:rsid w:val="00200EC6"/>
    <w:rsid w:val="0020193F"/>
    <w:rsid w:val="00203068"/>
    <w:rsid w:val="00205336"/>
    <w:rsid w:val="00206D18"/>
    <w:rsid w:val="0021013C"/>
    <w:rsid w:val="002120D0"/>
    <w:rsid w:val="002125E6"/>
    <w:rsid w:val="00215638"/>
    <w:rsid w:val="0021668E"/>
    <w:rsid w:val="00220283"/>
    <w:rsid w:val="00223A05"/>
    <w:rsid w:val="00224333"/>
    <w:rsid w:val="00224CDC"/>
    <w:rsid w:val="002270B2"/>
    <w:rsid w:val="00227BE7"/>
    <w:rsid w:val="00230304"/>
    <w:rsid w:val="00230D10"/>
    <w:rsid w:val="002320BC"/>
    <w:rsid w:val="002332EA"/>
    <w:rsid w:val="002342C9"/>
    <w:rsid w:val="00241AF6"/>
    <w:rsid w:val="00242277"/>
    <w:rsid w:val="00244015"/>
    <w:rsid w:val="0024529B"/>
    <w:rsid w:val="00245E6C"/>
    <w:rsid w:val="002470DA"/>
    <w:rsid w:val="0025006F"/>
    <w:rsid w:val="00250692"/>
    <w:rsid w:val="002509D0"/>
    <w:rsid w:val="002510B3"/>
    <w:rsid w:val="00252DDB"/>
    <w:rsid w:val="0025359C"/>
    <w:rsid w:val="002554B2"/>
    <w:rsid w:val="00255D4B"/>
    <w:rsid w:val="00262A61"/>
    <w:rsid w:val="00263B9A"/>
    <w:rsid w:val="00264660"/>
    <w:rsid w:val="00265C75"/>
    <w:rsid w:val="00265F18"/>
    <w:rsid w:val="002665C5"/>
    <w:rsid w:val="002703E3"/>
    <w:rsid w:val="00272326"/>
    <w:rsid w:val="0027252A"/>
    <w:rsid w:val="00275A0C"/>
    <w:rsid w:val="00277B58"/>
    <w:rsid w:val="00280D8F"/>
    <w:rsid w:val="00281347"/>
    <w:rsid w:val="002831B8"/>
    <w:rsid w:val="002857AA"/>
    <w:rsid w:val="0029048E"/>
    <w:rsid w:val="00290AEB"/>
    <w:rsid w:val="00291539"/>
    <w:rsid w:val="00292632"/>
    <w:rsid w:val="00294EBC"/>
    <w:rsid w:val="0029626C"/>
    <w:rsid w:val="00297B8B"/>
    <w:rsid w:val="00297D0C"/>
    <w:rsid w:val="002A0B7A"/>
    <w:rsid w:val="002A0C3D"/>
    <w:rsid w:val="002A0C82"/>
    <w:rsid w:val="002A1E56"/>
    <w:rsid w:val="002A4317"/>
    <w:rsid w:val="002A7D03"/>
    <w:rsid w:val="002B067F"/>
    <w:rsid w:val="002B06A9"/>
    <w:rsid w:val="002B06DF"/>
    <w:rsid w:val="002B3263"/>
    <w:rsid w:val="002B3FE9"/>
    <w:rsid w:val="002B4920"/>
    <w:rsid w:val="002B5EB0"/>
    <w:rsid w:val="002B6D25"/>
    <w:rsid w:val="002B7D1D"/>
    <w:rsid w:val="002C0169"/>
    <w:rsid w:val="002C0185"/>
    <w:rsid w:val="002C0964"/>
    <w:rsid w:val="002C2154"/>
    <w:rsid w:val="002C3905"/>
    <w:rsid w:val="002C67ED"/>
    <w:rsid w:val="002C7DDE"/>
    <w:rsid w:val="002D083D"/>
    <w:rsid w:val="002D2A3C"/>
    <w:rsid w:val="002D44CE"/>
    <w:rsid w:val="002D5D7E"/>
    <w:rsid w:val="002D6435"/>
    <w:rsid w:val="002D73AE"/>
    <w:rsid w:val="002E1456"/>
    <w:rsid w:val="002E2016"/>
    <w:rsid w:val="002E372F"/>
    <w:rsid w:val="002E38A1"/>
    <w:rsid w:val="002E53EC"/>
    <w:rsid w:val="002E7B45"/>
    <w:rsid w:val="002F0D48"/>
    <w:rsid w:val="002F3919"/>
    <w:rsid w:val="002F5A38"/>
    <w:rsid w:val="002F797B"/>
    <w:rsid w:val="00302602"/>
    <w:rsid w:val="0030262F"/>
    <w:rsid w:val="00303C8B"/>
    <w:rsid w:val="00306772"/>
    <w:rsid w:val="00306A59"/>
    <w:rsid w:val="00306EED"/>
    <w:rsid w:val="00306F89"/>
    <w:rsid w:val="00311669"/>
    <w:rsid w:val="00311A5F"/>
    <w:rsid w:val="0031253B"/>
    <w:rsid w:val="00314009"/>
    <w:rsid w:val="00315A72"/>
    <w:rsid w:val="0031795E"/>
    <w:rsid w:val="00321BCE"/>
    <w:rsid w:val="003224F2"/>
    <w:rsid w:val="00322564"/>
    <w:rsid w:val="003230A0"/>
    <w:rsid w:val="00323546"/>
    <w:rsid w:val="0032451F"/>
    <w:rsid w:val="003245A1"/>
    <w:rsid w:val="00326D5D"/>
    <w:rsid w:val="00327B03"/>
    <w:rsid w:val="00331FC6"/>
    <w:rsid w:val="0033261E"/>
    <w:rsid w:val="003331D2"/>
    <w:rsid w:val="00334A11"/>
    <w:rsid w:val="00335BD1"/>
    <w:rsid w:val="003419CA"/>
    <w:rsid w:val="00342078"/>
    <w:rsid w:val="00343E79"/>
    <w:rsid w:val="00346A47"/>
    <w:rsid w:val="0035067D"/>
    <w:rsid w:val="00351E9C"/>
    <w:rsid w:val="00352BE5"/>
    <w:rsid w:val="003534C0"/>
    <w:rsid w:val="00354318"/>
    <w:rsid w:val="00354A64"/>
    <w:rsid w:val="00354A79"/>
    <w:rsid w:val="00355FC0"/>
    <w:rsid w:val="00356142"/>
    <w:rsid w:val="00356AD1"/>
    <w:rsid w:val="00361262"/>
    <w:rsid w:val="00361C9E"/>
    <w:rsid w:val="00362198"/>
    <w:rsid w:val="00364647"/>
    <w:rsid w:val="0037029D"/>
    <w:rsid w:val="00370C8A"/>
    <w:rsid w:val="0037288F"/>
    <w:rsid w:val="00372E53"/>
    <w:rsid w:val="00373951"/>
    <w:rsid w:val="0037405F"/>
    <w:rsid w:val="00375F76"/>
    <w:rsid w:val="0037714C"/>
    <w:rsid w:val="00381E2B"/>
    <w:rsid w:val="00382A01"/>
    <w:rsid w:val="00383BFA"/>
    <w:rsid w:val="00384FE6"/>
    <w:rsid w:val="003851CE"/>
    <w:rsid w:val="00386948"/>
    <w:rsid w:val="00386C65"/>
    <w:rsid w:val="003924E0"/>
    <w:rsid w:val="00394101"/>
    <w:rsid w:val="00394E0E"/>
    <w:rsid w:val="00395323"/>
    <w:rsid w:val="00395A66"/>
    <w:rsid w:val="0039654A"/>
    <w:rsid w:val="0039658A"/>
    <w:rsid w:val="00396685"/>
    <w:rsid w:val="003A44B1"/>
    <w:rsid w:val="003A69CB"/>
    <w:rsid w:val="003B035C"/>
    <w:rsid w:val="003B07A2"/>
    <w:rsid w:val="003B0FE8"/>
    <w:rsid w:val="003B1AB5"/>
    <w:rsid w:val="003B1E98"/>
    <w:rsid w:val="003B22D9"/>
    <w:rsid w:val="003B3290"/>
    <w:rsid w:val="003B3755"/>
    <w:rsid w:val="003B4511"/>
    <w:rsid w:val="003B4C27"/>
    <w:rsid w:val="003B6F87"/>
    <w:rsid w:val="003C0054"/>
    <w:rsid w:val="003C0851"/>
    <w:rsid w:val="003C0C0D"/>
    <w:rsid w:val="003C14AB"/>
    <w:rsid w:val="003C1E7C"/>
    <w:rsid w:val="003C4251"/>
    <w:rsid w:val="003C42C6"/>
    <w:rsid w:val="003C668B"/>
    <w:rsid w:val="003D1437"/>
    <w:rsid w:val="003D3B7C"/>
    <w:rsid w:val="003D629B"/>
    <w:rsid w:val="003D6FFA"/>
    <w:rsid w:val="003D72B6"/>
    <w:rsid w:val="003E35F5"/>
    <w:rsid w:val="003E44CB"/>
    <w:rsid w:val="003E5C6E"/>
    <w:rsid w:val="003F2938"/>
    <w:rsid w:val="003F4247"/>
    <w:rsid w:val="003F4F88"/>
    <w:rsid w:val="003F7462"/>
    <w:rsid w:val="00400273"/>
    <w:rsid w:val="00400415"/>
    <w:rsid w:val="00400F8F"/>
    <w:rsid w:val="00401075"/>
    <w:rsid w:val="00403397"/>
    <w:rsid w:val="00404202"/>
    <w:rsid w:val="004053FF"/>
    <w:rsid w:val="00405597"/>
    <w:rsid w:val="004056A0"/>
    <w:rsid w:val="00406C2F"/>
    <w:rsid w:val="004071DA"/>
    <w:rsid w:val="00411D17"/>
    <w:rsid w:val="0041210C"/>
    <w:rsid w:val="00414E00"/>
    <w:rsid w:val="00420862"/>
    <w:rsid w:val="00420880"/>
    <w:rsid w:val="00421009"/>
    <w:rsid w:val="004233F9"/>
    <w:rsid w:val="0042372A"/>
    <w:rsid w:val="004259A8"/>
    <w:rsid w:val="00425ACB"/>
    <w:rsid w:val="00425E38"/>
    <w:rsid w:val="00426E6D"/>
    <w:rsid w:val="00427793"/>
    <w:rsid w:val="004277FA"/>
    <w:rsid w:val="00430020"/>
    <w:rsid w:val="00431175"/>
    <w:rsid w:val="004347BF"/>
    <w:rsid w:val="00434EDB"/>
    <w:rsid w:val="00436108"/>
    <w:rsid w:val="004368E1"/>
    <w:rsid w:val="00436A1E"/>
    <w:rsid w:val="00437349"/>
    <w:rsid w:val="00437F68"/>
    <w:rsid w:val="00440010"/>
    <w:rsid w:val="00441561"/>
    <w:rsid w:val="00441691"/>
    <w:rsid w:val="00442203"/>
    <w:rsid w:val="004440D6"/>
    <w:rsid w:val="0044451B"/>
    <w:rsid w:val="00446C23"/>
    <w:rsid w:val="00447598"/>
    <w:rsid w:val="00447F5D"/>
    <w:rsid w:val="00451934"/>
    <w:rsid w:val="004522CD"/>
    <w:rsid w:val="00453DA2"/>
    <w:rsid w:val="00454103"/>
    <w:rsid w:val="004554B3"/>
    <w:rsid w:val="004569C9"/>
    <w:rsid w:val="00457964"/>
    <w:rsid w:val="004643AF"/>
    <w:rsid w:val="00464C62"/>
    <w:rsid w:val="00465A54"/>
    <w:rsid w:val="004677D8"/>
    <w:rsid w:val="00467BDF"/>
    <w:rsid w:val="00472927"/>
    <w:rsid w:val="00474121"/>
    <w:rsid w:val="004746B7"/>
    <w:rsid w:val="00474A2F"/>
    <w:rsid w:val="004753B1"/>
    <w:rsid w:val="00476556"/>
    <w:rsid w:val="004837E8"/>
    <w:rsid w:val="00484A3D"/>
    <w:rsid w:val="0048581D"/>
    <w:rsid w:val="004859C3"/>
    <w:rsid w:val="00485EDF"/>
    <w:rsid w:val="00490A1F"/>
    <w:rsid w:val="004924E2"/>
    <w:rsid w:val="0049282E"/>
    <w:rsid w:val="0049425B"/>
    <w:rsid w:val="00494369"/>
    <w:rsid w:val="004967DA"/>
    <w:rsid w:val="004A0510"/>
    <w:rsid w:val="004A11B8"/>
    <w:rsid w:val="004A2B4F"/>
    <w:rsid w:val="004A6596"/>
    <w:rsid w:val="004A7448"/>
    <w:rsid w:val="004A7ED0"/>
    <w:rsid w:val="004B1CB6"/>
    <w:rsid w:val="004B2E17"/>
    <w:rsid w:val="004B31F5"/>
    <w:rsid w:val="004B42C6"/>
    <w:rsid w:val="004B46E7"/>
    <w:rsid w:val="004B4E67"/>
    <w:rsid w:val="004B56B6"/>
    <w:rsid w:val="004B58B4"/>
    <w:rsid w:val="004B7913"/>
    <w:rsid w:val="004B7CD4"/>
    <w:rsid w:val="004C1A76"/>
    <w:rsid w:val="004C2D18"/>
    <w:rsid w:val="004C3CC5"/>
    <w:rsid w:val="004C4855"/>
    <w:rsid w:val="004C5A8D"/>
    <w:rsid w:val="004D17B5"/>
    <w:rsid w:val="004D1CAF"/>
    <w:rsid w:val="004D1D4C"/>
    <w:rsid w:val="004D2D2B"/>
    <w:rsid w:val="004D438D"/>
    <w:rsid w:val="004D6AA0"/>
    <w:rsid w:val="004D6EA3"/>
    <w:rsid w:val="004D7C5A"/>
    <w:rsid w:val="004E095F"/>
    <w:rsid w:val="004E0DC1"/>
    <w:rsid w:val="004E2BA2"/>
    <w:rsid w:val="004E3AD2"/>
    <w:rsid w:val="004E4ECE"/>
    <w:rsid w:val="004E77BC"/>
    <w:rsid w:val="004E7C5E"/>
    <w:rsid w:val="004F053A"/>
    <w:rsid w:val="004F2BA1"/>
    <w:rsid w:val="004F4A10"/>
    <w:rsid w:val="004F6640"/>
    <w:rsid w:val="004F6D0A"/>
    <w:rsid w:val="00500450"/>
    <w:rsid w:val="00501294"/>
    <w:rsid w:val="005023EE"/>
    <w:rsid w:val="00503CA8"/>
    <w:rsid w:val="005105EC"/>
    <w:rsid w:val="0051137A"/>
    <w:rsid w:val="00511759"/>
    <w:rsid w:val="00511B29"/>
    <w:rsid w:val="00512F35"/>
    <w:rsid w:val="00515F84"/>
    <w:rsid w:val="00516884"/>
    <w:rsid w:val="00516E92"/>
    <w:rsid w:val="0051796C"/>
    <w:rsid w:val="0052149F"/>
    <w:rsid w:val="005234C2"/>
    <w:rsid w:val="00523933"/>
    <w:rsid w:val="00524473"/>
    <w:rsid w:val="00524715"/>
    <w:rsid w:val="005275DB"/>
    <w:rsid w:val="00534655"/>
    <w:rsid w:val="00535823"/>
    <w:rsid w:val="0053654A"/>
    <w:rsid w:val="005379D8"/>
    <w:rsid w:val="00537DFF"/>
    <w:rsid w:val="005437F7"/>
    <w:rsid w:val="0054439D"/>
    <w:rsid w:val="005455D7"/>
    <w:rsid w:val="0054613F"/>
    <w:rsid w:val="00546F02"/>
    <w:rsid w:val="0054726C"/>
    <w:rsid w:val="00547477"/>
    <w:rsid w:val="00550637"/>
    <w:rsid w:val="00550C15"/>
    <w:rsid w:val="00551E54"/>
    <w:rsid w:val="00552A5B"/>
    <w:rsid w:val="00553A9F"/>
    <w:rsid w:val="00553C8F"/>
    <w:rsid w:val="00555666"/>
    <w:rsid w:val="005557AE"/>
    <w:rsid w:val="005563F8"/>
    <w:rsid w:val="0055769A"/>
    <w:rsid w:val="005603D7"/>
    <w:rsid w:val="00560776"/>
    <w:rsid w:val="005651F2"/>
    <w:rsid w:val="00566BF2"/>
    <w:rsid w:val="00566C37"/>
    <w:rsid w:val="00567FBF"/>
    <w:rsid w:val="0057020D"/>
    <w:rsid w:val="005710B2"/>
    <w:rsid w:val="005715A3"/>
    <w:rsid w:val="00574D3F"/>
    <w:rsid w:val="005758DC"/>
    <w:rsid w:val="00575EC8"/>
    <w:rsid w:val="005770E1"/>
    <w:rsid w:val="00577D3B"/>
    <w:rsid w:val="00583ED8"/>
    <w:rsid w:val="00585C10"/>
    <w:rsid w:val="00585D18"/>
    <w:rsid w:val="00586DE8"/>
    <w:rsid w:val="005873E6"/>
    <w:rsid w:val="005876D8"/>
    <w:rsid w:val="00590091"/>
    <w:rsid w:val="00591013"/>
    <w:rsid w:val="0059168E"/>
    <w:rsid w:val="00591E80"/>
    <w:rsid w:val="0059553F"/>
    <w:rsid w:val="00595B7E"/>
    <w:rsid w:val="005A6B6C"/>
    <w:rsid w:val="005B0EA2"/>
    <w:rsid w:val="005B3818"/>
    <w:rsid w:val="005B4B72"/>
    <w:rsid w:val="005B52B1"/>
    <w:rsid w:val="005B543F"/>
    <w:rsid w:val="005B5AEB"/>
    <w:rsid w:val="005C08FA"/>
    <w:rsid w:val="005C10F2"/>
    <w:rsid w:val="005C2EF0"/>
    <w:rsid w:val="005C3E17"/>
    <w:rsid w:val="005C41C3"/>
    <w:rsid w:val="005D1258"/>
    <w:rsid w:val="005D3DE5"/>
    <w:rsid w:val="005D691C"/>
    <w:rsid w:val="005D72BC"/>
    <w:rsid w:val="005D7BAC"/>
    <w:rsid w:val="005E0927"/>
    <w:rsid w:val="005E0EB8"/>
    <w:rsid w:val="005E1042"/>
    <w:rsid w:val="005E290B"/>
    <w:rsid w:val="005E61DB"/>
    <w:rsid w:val="005F038E"/>
    <w:rsid w:val="005F28F4"/>
    <w:rsid w:val="005F39AC"/>
    <w:rsid w:val="005F6B77"/>
    <w:rsid w:val="006003EE"/>
    <w:rsid w:val="00605136"/>
    <w:rsid w:val="0060560B"/>
    <w:rsid w:val="00606299"/>
    <w:rsid w:val="006063A3"/>
    <w:rsid w:val="00606464"/>
    <w:rsid w:val="00606E5C"/>
    <w:rsid w:val="0060753A"/>
    <w:rsid w:val="00610DCC"/>
    <w:rsid w:val="006120A9"/>
    <w:rsid w:val="00612C9E"/>
    <w:rsid w:val="00614B06"/>
    <w:rsid w:val="00614DE1"/>
    <w:rsid w:val="006169D0"/>
    <w:rsid w:val="00616C8F"/>
    <w:rsid w:val="00616EAA"/>
    <w:rsid w:val="0062060B"/>
    <w:rsid w:val="00621870"/>
    <w:rsid w:val="00626234"/>
    <w:rsid w:val="00627813"/>
    <w:rsid w:val="00630CE7"/>
    <w:rsid w:val="00633FA7"/>
    <w:rsid w:val="006345DE"/>
    <w:rsid w:val="00635F76"/>
    <w:rsid w:val="00643045"/>
    <w:rsid w:val="0064574D"/>
    <w:rsid w:val="00645C78"/>
    <w:rsid w:val="00646470"/>
    <w:rsid w:val="00646570"/>
    <w:rsid w:val="00647350"/>
    <w:rsid w:val="00650EC4"/>
    <w:rsid w:val="00652426"/>
    <w:rsid w:val="0065519A"/>
    <w:rsid w:val="0065717E"/>
    <w:rsid w:val="0065793E"/>
    <w:rsid w:val="006622F0"/>
    <w:rsid w:val="00662776"/>
    <w:rsid w:val="00665609"/>
    <w:rsid w:val="006666FB"/>
    <w:rsid w:val="00666D76"/>
    <w:rsid w:val="0066748C"/>
    <w:rsid w:val="0066780A"/>
    <w:rsid w:val="00667F67"/>
    <w:rsid w:val="006708E4"/>
    <w:rsid w:val="00670BD0"/>
    <w:rsid w:val="00671A82"/>
    <w:rsid w:val="006733AC"/>
    <w:rsid w:val="006738C0"/>
    <w:rsid w:val="006747D0"/>
    <w:rsid w:val="006754F9"/>
    <w:rsid w:val="00676BDE"/>
    <w:rsid w:val="00677EB4"/>
    <w:rsid w:val="00680E92"/>
    <w:rsid w:val="00680F34"/>
    <w:rsid w:val="006815B2"/>
    <w:rsid w:val="00682060"/>
    <w:rsid w:val="006820AD"/>
    <w:rsid w:val="006825D3"/>
    <w:rsid w:val="006826F0"/>
    <w:rsid w:val="00682A5F"/>
    <w:rsid w:val="00682AC8"/>
    <w:rsid w:val="00682B66"/>
    <w:rsid w:val="00682BF1"/>
    <w:rsid w:val="00683B04"/>
    <w:rsid w:val="0068510B"/>
    <w:rsid w:val="00686634"/>
    <w:rsid w:val="00687E71"/>
    <w:rsid w:val="00690343"/>
    <w:rsid w:val="00693EA5"/>
    <w:rsid w:val="006959B9"/>
    <w:rsid w:val="00695A3E"/>
    <w:rsid w:val="006A0565"/>
    <w:rsid w:val="006A0C8E"/>
    <w:rsid w:val="006A357E"/>
    <w:rsid w:val="006A45A1"/>
    <w:rsid w:val="006A4E33"/>
    <w:rsid w:val="006A6791"/>
    <w:rsid w:val="006A7FB3"/>
    <w:rsid w:val="006A7FB6"/>
    <w:rsid w:val="006B3179"/>
    <w:rsid w:val="006B3693"/>
    <w:rsid w:val="006B43B6"/>
    <w:rsid w:val="006B6634"/>
    <w:rsid w:val="006B728F"/>
    <w:rsid w:val="006B7390"/>
    <w:rsid w:val="006B73C5"/>
    <w:rsid w:val="006B791C"/>
    <w:rsid w:val="006C2713"/>
    <w:rsid w:val="006C28C6"/>
    <w:rsid w:val="006C34E1"/>
    <w:rsid w:val="006C434D"/>
    <w:rsid w:val="006C49B4"/>
    <w:rsid w:val="006C5CD3"/>
    <w:rsid w:val="006C5DBB"/>
    <w:rsid w:val="006D1852"/>
    <w:rsid w:val="006D2D0E"/>
    <w:rsid w:val="006D4E10"/>
    <w:rsid w:val="006D539E"/>
    <w:rsid w:val="006D634E"/>
    <w:rsid w:val="006D73C5"/>
    <w:rsid w:val="006D7AEE"/>
    <w:rsid w:val="006D7D2C"/>
    <w:rsid w:val="006E0F4A"/>
    <w:rsid w:val="006E1B6F"/>
    <w:rsid w:val="006E280B"/>
    <w:rsid w:val="006E3610"/>
    <w:rsid w:val="006E3819"/>
    <w:rsid w:val="006E3977"/>
    <w:rsid w:val="006E3EA3"/>
    <w:rsid w:val="006E57C3"/>
    <w:rsid w:val="006E5B7C"/>
    <w:rsid w:val="006E6C7E"/>
    <w:rsid w:val="006E7778"/>
    <w:rsid w:val="006F19FC"/>
    <w:rsid w:val="006F6F4D"/>
    <w:rsid w:val="006F72D9"/>
    <w:rsid w:val="006F74F3"/>
    <w:rsid w:val="007024A8"/>
    <w:rsid w:val="00703E8A"/>
    <w:rsid w:val="00706597"/>
    <w:rsid w:val="007068BA"/>
    <w:rsid w:val="00707B59"/>
    <w:rsid w:val="00710A76"/>
    <w:rsid w:val="0071161C"/>
    <w:rsid w:val="00716115"/>
    <w:rsid w:val="00716319"/>
    <w:rsid w:val="00716B69"/>
    <w:rsid w:val="00721582"/>
    <w:rsid w:val="00721914"/>
    <w:rsid w:val="007236E6"/>
    <w:rsid w:val="0072427E"/>
    <w:rsid w:val="00727CE3"/>
    <w:rsid w:val="0073057D"/>
    <w:rsid w:val="00730609"/>
    <w:rsid w:val="00731DA2"/>
    <w:rsid w:val="0073276D"/>
    <w:rsid w:val="00734103"/>
    <w:rsid w:val="00734122"/>
    <w:rsid w:val="007352A4"/>
    <w:rsid w:val="00736FE3"/>
    <w:rsid w:val="00737F15"/>
    <w:rsid w:val="0074082A"/>
    <w:rsid w:val="007423F5"/>
    <w:rsid w:val="00742877"/>
    <w:rsid w:val="0074393D"/>
    <w:rsid w:val="00743991"/>
    <w:rsid w:val="00744D8F"/>
    <w:rsid w:val="00746AD4"/>
    <w:rsid w:val="007506A8"/>
    <w:rsid w:val="00750B7E"/>
    <w:rsid w:val="007515C4"/>
    <w:rsid w:val="007522B7"/>
    <w:rsid w:val="0075277D"/>
    <w:rsid w:val="007540CC"/>
    <w:rsid w:val="00755A08"/>
    <w:rsid w:val="00756231"/>
    <w:rsid w:val="00757287"/>
    <w:rsid w:val="00757D3C"/>
    <w:rsid w:val="007604E9"/>
    <w:rsid w:val="00762466"/>
    <w:rsid w:val="00763F24"/>
    <w:rsid w:val="00764146"/>
    <w:rsid w:val="007646F7"/>
    <w:rsid w:val="00764BF3"/>
    <w:rsid w:val="0076635D"/>
    <w:rsid w:val="007663CC"/>
    <w:rsid w:val="00766C89"/>
    <w:rsid w:val="00766D98"/>
    <w:rsid w:val="007673B6"/>
    <w:rsid w:val="007707AA"/>
    <w:rsid w:val="00774962"/>
    <w:rsid w:val="00775F64"/>
    <w:rsid w:val="00776970"/>
    <w:rsid w:val="00777FC5"/>
    <w:rsid w:val="00780DCA"/>
    <w:rsid w:val="00781660"/>
    <w:rsid w:val="007818C9"/>
    <w:rsid w:val="00782920"/>
    <w:rsid w:val="007865E1"/>
    <w:rsid w:val="007866F2"/>
    <w:rsid w:val="00790706"/>
    <w:rsid w:val="00792E9A"/>
    <w:rsid w:val="007A009E"/>
    <w:rsid w:val="007A01F7"/>
    <w:rsid w:val="007A0F8C"/>
    <w:rsid w:val="007A13C0"/>
    <w:rsid w:val="007A1B4D"/>
    <w:rsid w:val="007A4490"/>
    <w:rsid w:val="007A4EE5"/>
    <w:rsid w:val="007A4F56"/>
    <w:rsid w:val="007A7069"/>
    <w:rsid w:val="007A70D1"/>
    <w:rsid w:val="007A7526"/>
    <w:rsid w:val="007A7C36"/>
    <w:rsid w:val="007B100D"/>
    <w:rsid w:val="007B1854"/>
    <w:rsid w:val="007B283B"/>
    <w:rsid w:val="007B2F12"/>
    <w:rsid w:val="007B5FA8"/>
    <w:rsid w:val="007B6900"/>
    <w:rsid w:val="007B7884"/>
    <w:rsid w:val="007C0294"/>
    <w:rsid w:val="007C12CC"/>
    <w:rsid w:val="007C3B0F"/>
    <w:rsid w:val="007C563E"/>
    <w:rsid w:val="007C6221"/>
    <w:rsid w:val="007D2B50"/>
    <w:rsid w:val="007D39E5"/>
    <w:rsid w:val="007D425A"/>
    <w:rsid w:val="007D54E9"/>
    <w:rsid w:val="007D5A19"/>
    <w:rsid w:val="007E193D"/>
    <w:rsid w:val="007E31A6"/>
    <w:rsid w:val="007E37B8"/>
    <w:rsid w:val="007E3C1A"/>
    <w:rsid w:val="007E4F90"/>
    <w:rsid w:val="007F00ED"/>
    <w:rsid w:val="007F2474"/>
    <w:rsid w:val="007F5924"/>
    <w:rsid w:val="007F5FAD"/>
    <w:rsid w:val="007F620C"/>
    <w:rsid w:val="008004E8"/>
    <w:rsid w:val="00801B05"/>
    <w:rsid w:val="008025D3"/>
    <w:rsid w:val="00807A32"/>
    <w:rsid w:val="00807BB1"/>
    <w:rsid w:val="00807BE0"/>
    <w:rsid w:val="008102C8"/>
    <w:rsid w:val="00810C97"/>
    <w:rsid w:val="008127C3"/>
    <w:rsid w:val="008134EF"/>
    <w:rsid w:val="008139F7"/>
    <w:rsid w:val="00813B77"/>
    <w:rsid w:val="008159D7"/>
    <w:rsid w:val="00816AC0"/>
    <w:rsid w:val="0081715B"/>
    <w:rsid w:val="00817C5D"/>
    <w:rsid w:val="00817D26"/>
    <w:rsid w:val="00817F70"/>
    <w:rsid w:val="00821A14"/>
    <w:rsid w:val="00821FBB"/>
    <w:rsid w:val="00824B64"/>
    <w:rsid w:val="008265AD"/>
    <w:rsid w:val="008266FA"/>
    <w:rsid w:val="00830484"/>
    <w:rsid w:val="00830A98"/>
    <w:rsid w:val="00831330"/>
    <w:rsid w:val="00831AF4"/>
    <w:rsid w:val="00835E74"/>
    <w:rsid w:val="008373DB"/>
    <w:rsid w:val="00840B26"/>
    <w:rsid w:val="00840D1C"/>
    <w:rsid w:val="00841CA6"/>
    <w:rsid w:val="00841CDC"/>
    <w:rsid w:val="00842B00"/>
    <w:rsid w:val="00843A50"/>
    <w:rsid w:val="00843C8D"/>
    <w:rsid w:val="00844361"/>
    <w:rsid w:val="00845524"/>
    <w:rsid w:val="00847236"/>
    <w:rsid w:val="008510BC"/>
    <w:rsid w:val="00851335"/>
    <w:rsid w:val="00851D92"/>
    <w:rsid w:val="00852BC0"/>
    <w:rsid w:val="00852E08"/>
    <w:rsid w:val="00855B24"/>
    <w:rsid w:val="00857EA5"/>
    <w:rsid w:val="00863B9D"/>
    <w:rsid w:val="00865464"/>
    <w:rsid w:val="0087069A"/>
    <w:rsid w:val="008708ED"/>
    <w:rsid w:val="0087135D"/>
    <w:rsid w:val="008731A5"/>
    <w:rsid w:val="008738EB"/>
    <w:rsid w:val="00874451"/>
    <w:rsid w:val="00874602"/>
    <w:rsid w:val="00875714"/>
    <w:rsid w:val="008761E9"/>
    <w:rsid w:val="00877038"/>
    <w:rsid w:val="00882E0C"/>
    <w:rsid w:val="008834FA"/>
    <w:rsid w:val="00885488"/>
    <w:rsid w:val="00887A37"/>
    <w:rsid w:val="008944AF"/>
    <w:rsid w:val="0089587E"/>
    <w:rsid w:val="008970D5"/>
    <w:rsid w:val="00897B8F"/>
    <w:rsid w:val="008A0B92"/>
    <w:rsid w:val="008A1079"/>
    <w:rsid w:val="008A1875"/>
    <w:rsid w:val="008A3B23"/>
    <w:rsid w:val="008A3E63"/>
    <w:rsid w:val="008A4078"/>
    <w:rsid w:val="008A51A9"/>
    <w:rsid w:val="008B0085"/>
    <w:rsid w:val="008B2B51"/>
    <w:rsid w:val="008B346E"/>
    <w:rsid w:val="008B4E2A"/>
    <w:rsid w:val="008B5136"/>
    <w:rsid w:val="008B68FD"/>
    <w:rsid w:val="008C2E09"/>
    <w:rsid w:val="008C32D0"/>
    <w:rsid w:val="008C3677"/>
    <w:rsid w:val="008C3970"/>
    <w:rsid w:val="008C48F8"/>
    <w:rsid w:val="008D3C61"/>
    <w:rsid w:val="008D4DE9"/>
    <w:rsid w:val="008D6485"/>
    <w:rsid w:val="008D706D"/>
    <w:rsid w:val="008E1ADA"/>
    <w:rsid w:val="008E1C35"/>
    <w:rsid w:val="008E2427"/>
    <w:rsid w:val="008E46ED"/>
    <w:rsid w:val="008E5112"/>
    <w:rsid w:val="008E512D"/>
    <w:rsid w:val="008E57F3"/>
    <w:rsid w:val="008E5891"/>
    <w:rsid w:val="008E5F09"/>
    <w:rsid w:val="008F1A08"/>
    <w:rsid w:val="008F1DDA"/>
    <w:rsid w:val="008F2108"/>
    <w:rsid w:val="008F39B8"/>
    <w:rsid w:val="008F6B8B"/>
    <w:rsid w:val="008F6DD0"/>
    <w:rsid w:val="00901748"/>
    <w:rsid w:val="009018E5"/>
    <w:rsid w:val="009019CF"/>
    <w:rsid w:val="00901C1E"/>
    <w:rsid w:val="00902CF4"/>
    <w:rsid w:val="0090478A"/>
    <w:rsid w:val="009056D3"/>
    <w:rsid w:val="00905841"/>
    <w:rsid w:val="00907D77"/>
    <w:rsid w:val="00910F99"/>
    <w:rsid w:val="00914BDD"/>
    <w:rsid w:val="00916557"/>
    <w:rsid w:val="0091761E"/>
    <w:rsid w:val="00920FF1"/>
    <w:rsid w:val="00921695"/>
    <w:rsid w:val="009221E3"/>
    <w:rsid w:val="0092358B"/>
    <w:rsid w:val="009235E0"/>
    <w:rsid w:val="00924A8B"/>
    <w:rsid w:val="00925121"/>
    <w:rsid w:val="0092521F"/>
    <w:rsid w:val="0092555F"/>
    <w:rsid w:val="00926E97"/>
    <w:rsid w:val="0092700A"/>
    <w:rsid w:val="00927144"/>
    <w:rsid w:val="009306D2"/>
    <w:rsid w:val="00931F6A"/>
    <w:rsid w:val="00932A46"/>
    <w:rsid w:val="00933823"/>
    <w:rsid w:val="00933D99"/>
    <w:rsid w:val="009346ED"/>
    <w:rsid w:val="00935053"/>
    <w:rsid w:val="0093520D"/>
    <w:rsid w:val="0093790A"/>
    <w:rsid w:val="009417EE"/>
    <w:rsid w:val="00945A9B"/>
    <w:rsid w:val="0094798D"/>
    <w:rsid w:val="00951836"/>
    <w:rsid w:val="00951C0F"/>
    <w:rsid w:val="00954A78"/>
    <w:rsid w:val="009618EC"/>
    <w:rsid w:val="00961BBD"/>
    <w:rsid w:val="0096295D"/>
    <w:rsid w:val="00964479"/>
    <w:rsid w:val="00966E0E"/>
    <w:rsid w:val="0097195D"/>
    <w:rsid w:val="009721A4"/>
    <w:rsid w:val="009727F4"/>
    <w:rsid w:val="00972975"/>
    <w:rsid w:val="00973FEF"/>
    <w:rsid w:val="009752EE"/>
    <w:rsid w:val="00977F1D"/>
    <w:rsid w:val="00980F49"/>
    <w:rsid w:val="0098255F"/>
    <w:rsid w:val="0098261E"/>
    <w:rsid w:val="00982994"/>
    <w:rsid w:val="00983183"/>
    <w:rsid w:val="009844F8"/>
    <w:rsid w:val="0098675D"/>
    <w:rsid w:val="0098693B"/>
    <w:rsid w:val="00987223"/>
    <w:rsid w:val="00987F3D"/>
    <w:rsid w:val="00990E2B"/>
    <w:rsid w:val="0099514C"/>
    <w:rsid w:val="00996CE3"/>
    <w:rsid w:val="00996F0B"/>
    <w:rsid w:val="009A07C7"/>
    <w:rsid w:val="009A0958"/>
    <w:rsid w:val="009A1FE1"/>
    <w:rsid w:val="009A4BD5"/>
    <w:rsid w:val="009A4DCC"/>
    <w:rsid w:val="009A4F79"/>
    <w:rsid w:val="009A5259"/>
    <w:rsid w:val="009A636B"/>
    <w:rsid w:val="009A6C2F"/>
    <w:rsid w:val="009A6CC8"/>
    <w:rsid w:val="009A7416"/>
    <w:rsid w:val="009A745B"/>
    <w:rsid w:val="009B4CC7"/>
    <w:rsid w:val="009B520F"/>
    <w:rsid w:val="009B6715"/>
    <w:rsid w:val="009B6998"/>
    <w:rsid w:val="009C0622"/>
    <w:rsid w:val="009C17E0"/>
    <w:rsid w:val="009C21A8"/>
    <w:rsid w:val="009C4C2C"/>
    <w:rsid w:val="009C58FC"/>
    <w:rsid w:val="009C65D6"/>
    <w:rsid w:val="009D004A"/>
    <w:rsid w:val="009D0197"/>
    <w:rsid w:val="009D19AE"/>
    <w:rsid w:val="009D1FA3"/>
    <w:rsid w:val="009D2805"/>
    <w:rsid w:val="009D3609"/>
    <w:rsid w:val="009D7994"/>
    <w:rsid w:val="009E1712"/>
    <w:rsid w:val="009E3963"/>
    <w:rsid w:val="009E46B1"/>
    <w:rsid w:val="009E5A58"/>
    <w:rsid w:val="009E743C"/>
    <w:rsid w:val="009E7AD9"/>
    <w:rsid w:val="009F1FFE"/>
    <w:rsid w:val="009F31B2"/>
    <w:rsid w:val="009F3CF7"/>
    <w:rsid w:val="009F60DF"/>
    <w:rsid w:val="00A0190F"/>
    <w:rsid w:val="00A030EA"/>
    <w:rsid w:val="00A04C2D"/>
    <w:rsid w:val="00A04DCF"/>
    <w:rsid w:val="00A066BF"/>
    <w:rsid w:val="00A075EF"/>
    <w:rsid w:val="00A0776C"/>
    <w:rsid w:val="00A100BF"/>
    <w:rsid w:val="00A10806"/>
    <w:rsid w:val="00A1253B"/>
    <w:rsid w:val="00A130E7"/>
    <w:rsid w:val="00A17860"/>
    <w:rsid w:val="00A21609"/>
    <w:rsid w:val="00A22389"/>
    <w:rsid w:val="00A24090"/>
    <w:rsid w:val="00A24C7F"/>
    <w:rsid w:val="00A25B97"/>
    <w:rsid w:val="00A25BBF"/>
    <w:rsid w:val="00A3179E"/>
    <w:rsid w:val="00A33051"/>
    <w:rsid w:val="00A331CA"/>
    <w:rsid w:val="00A33805"/>
    <w:rsid w:val="00A34DB9"/>
    <w:rsid w:val="00A3546D"/>
    <w:rsid w:val="00A35DEB"/>
    <w:rsid w:val="00A365D7"/>
    <w:rsid w:val="00A36E24"/>
    <w:rsid w:val="00A3709F"/>
    <w:rsid w:val="00A3731C"/>
    <w:rsid w:val="00A3757E"/>
    <w:rsid w:val="00A40262"/>
    <w:rsid w:val="00A40333"/>
    <w:rsid w:val="00A40BCF"/>
    <w:rsid w:val="00A40FA5"/>
    <w:rsid w:val="00A42BBA"/>
    <w:rsid w:val="00A450A0"/>
    <w:rsid w:val="00A4520A"/>
    <w:rsid w:val="00A468DA"/>
    <w:rsid w:val="00A46C1F"/>
    <w:rsid w:val="00A46D08"/>
    <w:rsid w:val="00A47CB3"/>
    <w:rsid w:val="00A51A79"/>
    <w:rsid w:val="00A53021"/>
    <w:rsid w:val="00A53A2C"/>
    <w:rsid w:val="00A55909"/>
    <w:rsid w:val="00A56417"/>
    <w:rsid w:val="00A57448"/>
    <w:rsid w:val="00A65E47"/>
    <w:rsid w:val="00A66011"/>
    <w:rsid w:val="00A67908"/>
    <w:rsid w:val="00A708C8"/>
    <w:rsid w:val="00A70FA9"/>
    <w:rsid w:val="00A71F21"/>
    <w:rsid w:val="00A71F44"/>
    <w:rsid w:val="00A737B7"/>
    <w:rsid w:val="00A76682"/>
    <w:rsid w:val="00A77774"/>
    <w:rsid w:val="00A80B2E"/>
    <w:rsid w:val="00A8489E"/>
    <w:rsid w:val="00A85309"/>
    <w:rsid w:val="00A858C3"/>
    <w:rsid w:val="00A85B90"/>
    <w:rsid w:val="00A87F68"/>
    <w:rsid w:val="00A93D75"/>
    <w:rsid w:val="00A93F81"/>
    <w:rsid w:val="00A94714"/>
    <w:rsid w:val="00A94B75"/>
    <w:rsid w:val="00A94EC9"/>
    <w:rsid w:val="00A97321"/>
    <w:rsid w:val="00A978E5"/>
    <w:rsid w:val="00A97EBF"/>
    <w:rsid w:val="00AA04F9"/>
    <w:rsid w:val="00AA0889"/>
    <w:rsid w:val="00AA13B3"/>
    <w:rsid w:val="00AA23BA"/>
    <w:rsid w:val="00AA2E6B"/>
    <w:rsid w:val="00AA4870"/>
    <w:rsid w:val="00AA4A6D"/>
    <w:rsid w:val="00AA7139"/>
    <w:rsid w:val="00AA7784"/>
    <w:rsid w:val="00AB11E7"/>
    <w:rsid w:val="00AB55D0"/>
    <w:rsid w:val="00AB56FB"/>
    <w:rsid w:val="00AB60F8"/>
    <w:rsid w:val="00AB6EB6"/>
    <w:rsid w:val="00AC2D2E"/>
    <w:rsid w:val="00AC301A"/>
    <w:rsid w:val="00AC3246"/>
    <w:rsid w:val="00AC3317"/>
    <w:rsid w:val="00AC35D7"/>
    <w:rsid w:val="00AC611F"/>
    <w:rsid w:val="00AC6B73"/>
    <w:rsid w:val="00AC6F1A"/>
    <w:rsid w:val="00AC74AE"/>
    <w:rsid w:val="00AC7611"/>
    <w:rsid w:val="00AD0234"/>
    <w:rsid w:val="00AD192B"/>
    <w:rsid w:val="00AD3550"/>
    <w:rsid w:val="00AD438F"/>
    <w:rsid w:val="00AD4766"/>
    <w:rsid w:val="00AD7006"/>
    <w:rsid w:val="00AD7780"/>
    <w:rsid w:val="00AE02D5"/>
    <w:rsid w:val="00AE0937"/>
    <w:rsid w:val="00AE0A4F"/>
    <w:rsid w:val="00AE2347"/>
    <w:rsid w:val="00AE3109"/>
    <w:rsid w:val="00AE32A1"/>
    <w:rsid w:val="00AE4129"/>
    <w:rsid w:val="00AE529B"/>
    <w:rsid w:val="00AE649F"/>
    <w:rsid w:val="00AE6E76"/>
    <w:rsid w:val="00AF02AD"/>
    <w:rsid w:val="00AF291D"/>
    <w:rsid w:val="00AF30DD"/>
    <w:rsid w:val="00AF3EB6"/>
    <w:rsid w:val="00AF581C"/>
    <w:rsid w:val="00AF5C27"/>
    <w:rsid w:val="00AF613D"/>
    <w:rsid w:val="00AF6A7E"/>
    <w:rsid w:val="00AF70D1"/>
    <w:rsid w:val="00AF7313"/>
    <w:rsid w:val="00B01D46"/>
    <w:rsid w:val="00B03F3C"/>
    <w:rsid w:val="00B04E09"/>
    <w:rsid w:val="00B05431"/>
    <w:rsid w:val="00B06E7A"/>
    <w:rsid w:val="00B072E7"/>
    <w:rsid w:val="00B11BD2"/>
    <w:rsid w:val="00B11E8E"/>
    <w:rsid w:val="00B1216D"/>
    <w:rsid w:val="00B154C8"/>
    <w:rsid w:val="00B1738C"/>
    <w:rsid w:val="00B21AC2"/>
    <w:rsid w:val="00B21BC8"/>
    <w:rsid w:val="00B21BE0"/>
    <w:rsid w:val="00B21D57"/>
    <w:rsid w:val="00B22944"/>
    <w:rsid w:val="00B26138"/>
    <w:rsid w:val="00B26143"/>
    <w:rsid w:val="00B26B85"/>
    <w:rsid w:val="00B26C5E"/>
    <w:rsid w:val="00B3084C"/>
    <w:rsid w:val="00B329DF"/>
    <w:rsid w:val="00B34A5D"/>
    <w:rsid w:val="00B361A5"/>
    <w:rsid w:val="00B36583"/>
    <w:rsid w:val="00B372DE"/>
    <w:rsid w:val="00B37394"/>
    <w:rsid w:val="00B4292D"/>
    <w:rsid w:val="00B42D14"/>
    <w:rsid w:val="00B46951"/>
    <w:rsid w:val="00B52E35"/>
    <w:rsid w:val="00B5320A"/>
    <w:rsid w:val="00B53E3D"/>
    <w:rsid w:val="00B5583D"/>
    <w:rsid w:val="00B57119"/>
    <w:rsid w:val="00B60727"/>
    <w:rsid w:val="00B63F94"/>
    <w:rsid w:val="00B64DE9"/>
    <w:rsid w:val="00B65206"/>
    <w:rsid w:val="00B66D3D"/>
    <w:rsid w:val="00B67759"/>
    <w:rsid w:val="00B70F40"/>
    <w:rsid w:val="00B71560"/>
    <w:rsid w:val="00B71E95"/>
    <w:rsid w:val="00B73120"/>
    <w:rsid w:val="00B7599E"/>
    <w:rsid w:val="00B761BB"/>
    <w:rsid w:val="00B80DFC"/>
    <w:rsid w:val="00B80EDE"/>
    <w:rsid w:val="00B84254"/>
    <w:rsid w:val="00B859B8"/>
    <w:rsid w:val="00B87013"/>
    <w:rsid w:val="00B874F9"/>
    <w:rsid w:val="00B87988"/>
    <w:rsid w:val="00B87B37"/>
    <w:rsid w:val="00B90574"/>
    <w:rsid w:val="00B90ABB"/>
    <w:rsid w:val="00B90CBD"/>
    <w:rsid w:val="00B92E98"/>
    <w:rsid w:val="00B9528F"/>
    <w:rsid w:val="00B9529C"/>
    <w:rsid w:val="00B9543F"/>
    <w:rsid w:val="00B9553B"/>
    <w:rsid w:val="00BA3397"/>
    <w:rsid w:val="00BA606B"/>
    <w:rsid w:val="00BA78B0"/>
    <w:rsid w:val="00BA7DC3"/>
    <w:rsid w:val="00BB3ECA"/>
    <w:rsid w:val="00BB40B8"/>
    <w:rsid w:val="00BB471C"/>
    <w:rsid w:val="00BB5F5E"/>
    <w:rsid w:val="00BB61E6"/>
    <w:rsid w:val="00BB62E8"/>
    <w:rsid w:val="00BB6415"/>
    <w:rsid w:val="00BB767C"/>
    <w:rsid w:val="00BC045F"/>
    <w:rsid w:val="00BC12CD"/>
    <w:rsid w:val="00BC144C"/>
    <w:rsid w:val="00BC1890"/>
    <w:rsid w:val="00BC229A"/>
    <w:rsid w:val="00BC5C4C"/>
    <w:rsid w:val="00BC6B83"/>
    <w:rsid w:val="00BC6DAD"/>
    <w:rsid w:val="00BD1145"/>
    <w:rsid w:val="00BD2189"/>
    <w:rsid w:val="00BD2936"/>
    <w:rsid w:val="00BD40F4"/>
    <w:rsid w:val="00BD5772"/>
    <w:rsid w:val="00BD7565"/>
    <w:rsid w:val="00BE174B"/>
    <w:rsid w:val="00BE2A3D"/>
    <w:rsid w:val="00BE3611"/>
    <w:rsid w:val="00BE5099"/>
    <w:rsid w:val="00BE53FC"/>
    <w:rsid w:val="00BE573A"/>
    <w:rsid w:val="00BE63C9"/>
    <w:rsid w:val="00BE79E6"/>
    <w:rsid w:val="00BF2A99"/>
    <w:rsid w:val="00BF2B76"/>
    <w:rsid w:val="00BF303D"/>
    <w:rsid w:val="00BF3D62"/>
    <w:rsid w:val="00BF3FF4"/>
    <w:rsid w:val="00BF423D"/>
    <w:rsid w:val="00BF5678"/>
    <w:rsid w:val="00BF6518"/>
    <w:rsid w:val="00BF7FC6"/>
    <w:rsid w:val="00C01DA2"/>
    <w:rsid w:val="00C020F9"/>
    <w:rsid w:val="00C0383A"/>
    <w:rsid w:val="00C03FE1"/>
    <w:rsid w:val="00C048B1"/>
    <w:rsid w:val="00C0539B"/>
    <w:rsid w:val="00C056EE"/>
    <w:rsid w:val="00C05C8D"/>
    <w:rsid w:val="00C05CB7"/>
    <w:rsid w:val="00C07B14"/>
    <w:rsid w:val="00C07DC2"/>
    <w:rsid w:val="00C1063E"/>
    <w:rsid w:val="00C10713"/>
    <w:rsid w:val="00C117A2"/>
    <w:rsid w:val="00C131FB"/>
    <w:rsid w:val="00C13312"/>
    <w:rsid w:val="00C15341"/>
    <w:rsid w:val="00C20E1F"/>
    <w:rsid w:val="00C21258"/>
    <w:rsid w:val="00C215E3"/>
    <w:rsid w:val="00C234E3"/>
    <w:rsid w:val="00C37429"/>
    <w:rsid w:val="00C411E5"/>
    <w:rsid w:val="00C417AD"/>
    <w:rsid w:val="00C452B7"/>
    <w:rsid w:val="00C45A12"/>
    <w:rsid w:val="00C46DC8"/>
    <w:rsid w:val="00C500B1"/>
    <w:rsid w:val="00C500DE"/>
    <w:rsid w:val="00C5088A"/>
    <w:rsid w:val="00C51B02"/>
    <w:rsid w:val="00C51F56"/>
    <w:rsid w:val="00C53BA5"/>
    <w:rsid w:val="00C53E7F"/>
    <w:rsid w:val="00C53F5E"/>
    <w:rsid w:val="00C543EA"/>
    <w:rsid w:val="00C56C4B"/>
    <w:rsid w:val="00C577CE"/>
    <w:rsid w:val="00C60BB5"/>
    <w:rsid w:val="00C62FBC"/>
    <w:rsid w:val="00C630C0"/>
    <w:rsid w:val="00C656BB"/>
    <w:rsid w:val="00C65FAA"/>
    <w:rsid w:val="00C6749A"/>
    <w:rsid w:val="00C718BC"/>
    <w:rsid w:val="00C7317A"/>
    <w:rsid w:val="00C74A60"/>
    <w:rsid w:val="00C76857"/>
    <w:rsid w:val="00C77B4B"/>
    <w:rsid w:val="00C77FD7"/>
    <w:rsid w:val="00C81ECD"/>
    <w:rsid w:val="00C8209E"/>
    <w:rsid w:val="00C84EF2"/>
    <w:rsid w:val="00C8530A"/>
    <w:rsid w:val="00C8595C"/>
    <w:rsid w:val="00C87CFF"/>
    <w:rsid w:val="00C91EEF"/>
    <w:rsid w:val="00C92B04"/>
    <w:rsid w:val="00C93302"/>
    <w:rsid w:val="00C96476"/>
    <w:rsid w:val="00C966E5"/>
    <w:rsid w:val="00C9746E"/>
    <w:rsid w:val="00C97D01"/>
    <w:rsid w:val="00CA07E5"/>
    <w:rsid w:val="00CA0ADA"/>
    <w:rsid w:val="00CA124D"/>
    <w:rsid w:val="00CA2F94"/>
    <w:rsid w:val="00CA5643"/>
    <w:rsid w:val="00CA5CD4"/>
    <w:rsid w:val="00CA5E63"/>
    <w:rsid w:val="00CB0602"/>
    <w:rsid w:val="00CB2706"/>
    <w:rsid w:val="00CB32BB"/>
    <w:rsid w:val="00CB53CC"/>
    <w:rsid w:val="00CB77AC"/>
    <w:rsid w:val="00CC02B6"/>
    <w:rsid w:val="00CC0515"/>
    <w:rsid w:val="00CC0BA0"/>
    <w:rsid w:val="00CC1EDA"/>
    <w:rsid w:val="00CC218A"/>
    <w:rsid w:val="00CC3230"/>
    <w:rsid w:val="00CC4394"/>
    <w:rsid w:val="00CC44AE"/>
    <w:rsid w:val="00CC5671"/>
    <w:rsid w:val="00CC68F4"/>
    <w:rsid w:val="00CC770D"/>
    <w:rsid w:val="00CD0DF3"/>
    <w:rsid w:val="00CD1E58"/>
    <w:rsid w:val="00CD3365"/>
    <w:rsid w:val="00CD471E"/>
    <w:rsid w:val="00CD482D"/>
    <w:rsid w:val="00CD48A2"/>
    <w:rsid w:val="00CD4FD0"/>
    <w:rsid w:val="00CD7A14"/>
    <w:rsid w:val="00CE0E5F"/>
    <w:rsid w:val="00CE2FCF"/>
    <w:rsid w:val="00CE318F"/>
    <w:rsid w:val="00CE5461"/>
    <w:rsid w:val="00CE6B10"/>
    <w:rsid w:val="00CE6C4B"/>
    <w:rsid w:val="00CF36D8"/>
    <w:rsid w:val="00CF43C8"/>
    <w:rsid w:val="00CF46D5"/>
    <w:rsid w:val="00CF4736"/>
    <w:rsid w:val="00CF4FB9"/>
    <w:rsid w:val="00CF5D36"/>
    <w:rsid w:val="00CF7ADB"/>
    <w:rsid w:val="00D0033D"/>
    <w:rsid w:val="00D006B0"/>
    <w:rsid w:val="00D00BE4"/>
    <w:rsid w:val="00D02560"/>
    <w:rsid w:val="00D04121"/>
    <w:rsid w:val="00D051E7"/>
    <w:rsid w:val="00D05ACF"/>
    <w:rsid w:val="00D0793C"/>
    <w:rsid w:val="00D07B26"/>
    <w:rsid w:val="00D111BB"/>
    <w:rsid w:val="00D1246C"/>
    <w:rsid w:val="00D12661"/>
    <w:rsid w:val="00D13E2C"/>
    <w:rsid w:val="00D14FF6"/>
    <w:rsid w:val="00D155CF"/>
    <w:rsid w:val="00D1702F"/>
    <w:rsid w:val="00D170E0"/>
    <w:rsid w:val="00D20EEA"/>
    <w:rsid w:val="00D229F0"/>
    <w:rsid w:val="00D23291"/>
    <w:rsid w:val="00D23533"/>
    <w:rsid w:val="00D24B67"/>
    <w:rsid w:val="00D25C54"/>
    <w:rsid w:val="00D338D3"/>
    <w:rsid w:val="00D33F03"/>
    <w:rsid w:val="00D360C6"/>
    <w:rsid w:val="00D365C0"/>
    <w:rsid w:val="00D40B48"/>
    <w:rsid w:val="00D42D0E"/>
    <w:rsid w:val="00D445DC"/>
    <w:rsid w:val="00D45287"/>
    <w:rsid w:val="00D4573D"/>
    <w:rsid w:val="00D46EEB"/>
    <w:rsid w:val="00D475F2"/>
    <w:rsid w:val="00D4768A"/>
    <w:rsid w:val="00D50210"/>
    <w:rsid w:val="00D50683"/>
    <w:rsid w:val="00D5094C"/>
    <w:rsid w:val="00D519FF"/>
    <w:rsid w:val="00D5274E"/>
    <w:rsid w:val="00D53693"/>
    <w:rsid w:val="00D537A9"/>
    <w:rsid w:val="00D547AC"/>
    <w:rsid w:val="00D5490A"/>
    <w:rsid w:val="00D55357"/>
    <w:rsid w:val="00D557A0"/>
    <w:rsid w:val="00D55FC0"/>
    <w:rsid w:val="00D562FA"/>
    <w:rsid w:val="00D567DE"/>
    <w:rsid w:val="00D60A82"/>
    <w:rsid w:val="00D61169"/>
    <w:rsid w:val="00D6122C"/>
    <w:rsid w:val="00D61F43"/>
    <w:rsid w:val="00D63F07"/>
    <w:rsid w:val="00D654F0"/>
    <w:rsid w:val="00D664D5"/>
    <w:rsid w:val="00D66C0A"/>
    <w:rsid w:val="00D72E5B"/>
    <w:rsid w:val="00D745C3"/>
    <w:rsid w:val="00D75D8E"/>
    <w:rsid w:val="00D76FB8"/>
    <w:rsid w:val="00D8053D"/>
    <w:rsid w:val="00D80B1A"/>
    <w:rsid w:val="00D828CE"/>
    <w:rsid w:val="00D83F62"/>
    <w:rsid w:val="00D85C6B"/>
    <w:rsid w:val="00D86DAC"/>
    <w:rsid w:val="00D90AE9"/>
    <w:rsid w:val="00D90CAD"/>
    <w:rsid w:val="00D92A5C"/>
    <w:rsid w:val="00D93747"/>
    <w:rsid w:val="00D93C60"/>
    <w:rsid w:val="00D93FCC"/>
    <w:rsid w:val="00D94365"/>
    <w:rsid w:val="00D94388"/>
    <w:rsid w:val="00D944F3"/>
    <w:rsid w:val="00D9534E"/>
    <w:rsid w:val="00D955F1"/>
    <w:rsid w:val="00DA2236"/>
    <w:rsid w:val="00DA2485"/>
    <w:rsid w:val="00DA3338"/>
    <w:rsid w:val="00DA3EA5"/>
    <w:rsid w:val="00DA4B47"/>
    <w:rsid w:val="00DA4D00"/>
    <w:rsid w:val="00DA5FB5"/>
    <w:rsid w:val="00DB307A"/>
    <w:rsid w:val="00DB3EBF"/>
    <w:rsid w:val="00DB441E"/>
    <w:rsid w:val="00DB4DA3"/>
    <w:rsid w:val="00DC1D5F"/>
    <w:rsid w:val="00DC1FAD"/>
    <w:rsid w:val="00DC20F9"/>
    <w:rsid w:val="00DC46F4"/>
    <w:rsid w:val="00DC56ED"/>
    <w:rsid w:val="00DC7F24"/>
    <w:rsid w:val="00DD08E7"/>
    <w:rsid w:val="00DD52DE"/>
    <w:rsid w:val="00DD7107"/>
    <w:rsid w:val="00DE28C4"/>
    <w:rsid w:val="00DE29A8"/>
    <w:rsid w:val="00DE4225"/>
    <w:rsid w:val="00DE6006"/>
    <w:rsid w:val="00DE7A57"/>
    <w:rsid w:val="00DE7C1A"/>
    <w:rsid w:val="00DF114C"/>
    <w:rsid w:val="00DF1747"/>
    <w:rsid w:val="00DF43EA"/>
    <w:rsid w:val="00DF52BC"/>
    <w:rsid w:val="00DF5FB1"/>
    <w:rsid w:val="00DF7393"/>
    <w:rsid w:val="00DF781B"/>
    <w:rsid w:val="00E009F3"/>
    <w:rsid w:val="00E00DDC"/>
    <w:rsid w:val="00E01FA7"/>
    <w:rsid w:val="00E0274F"/>
    <w:rsid w:val="00E0432C"/>
    <w:rsid w:val="00E048E5"/>
    <w:rsid w:val="00E061F3"/>
    <w:rsid w:val="00E07B26"/>
    <w:rsid w:val="00E07F21"/>
    <w:rsid w:val="00E13FB6"/>
    <w:rsid w:val="00E1487A"/>
    <w:rsid w:val="00E16DAB"/>
    <w:rsid w:val="00E2006D"/>
    <w:rsid w:val="00E22756"/>
    <w:rsid w:val="00E23603"/>
    <w:rsid w:val="00E25815"/>
    <w:rsid w:val="00E267B1"/>
    <w:rsid w:val="00E26F1D"/>
    <w:rsid w:val="00E3140F"/>
    <w:rsid w:val="00E31A51"/>
    <w:rsid w:val="00E31F6C"/>
    <w:rsid w:val="00E3275C"/>
    <w:rsid w:val="00E33021"/>
    <w:rsid w:val="00E33342"/>
    <w:rsid w:val="00E3344C"/>
    <w:rsid w:val="00E339BB"/>
    <w:rsid w:val="00E358F4"/>
    <w:rsid w:val="00E35CC1"/>
    <w:rsid w:val="00E40738"/>
    <w:rsid w:val="00E42B06"/>
    <w:rsid w:val="00E43C88"/>
    <w:rsid w:val="00E45060"/>
    <w:rsid w:val="00E47625"/>
    <w:rsid w:val="00E53325"/>
    <w:rsid w:val="00E535E4"/>
    <w:rsid w:val="00E543F8"/>
    <w:rsid w:val="00E55DD8"/>
    <w:rsid w:val="00E56F4D"/>
    <w:rsid w:val="00E57F4D"/>
    <w:rsid w:val="00E57FDC"/>
    <w:rsid w:val="00E600D2"/>
    <w:rsid w:val="00E60ED6"/>
    <w:rsid w:val="00E611C6"/>
    <w:rsid w:val="00E62037"/>
    <w:rsid w:val="00E64DD1"/>
    <w:rsid w:val="00E65773"/>
    <w:rsid w:val="00E657AF"/>
    <w:rsid w:val="00E65A5A"/>
    <w:rsid w:val="00E65DE3"/>
    <w:rsid w:val="00E6719F"/>
    <w:rsid w:val="00E726D8"/>
    <w:rsid w:val="00E72946"/>
    <w:rsid w:val="00E72C64"/>
    <w:rsid w:val="00E757E9"/>
    <w:rsid w:val="00E7593F"/>
    <w:rsid w:val="00E768F9"/>
    <w:rsid w:val="00E771B0"/>
    <w:rsid w:val="00E77F8A"/>
    <w:rsid w:val="00E8219A"/>
    <w:rsid w:val="00E829CB"/>
    <w:rsid w:val="00E8554D"/>
    <w:rsid w:val="00E859F8"/>
    <w:rsid w:val="00E875DE"/>
    <w:rsid w:val="00E87C9B"/>
    <w:rsid w:val="00E9018A"/>
    <w:rsid w:val="00E93090"/>
    <w:rsid w:val="00E93C34"/>
    <w:rsid w:val="00EA2BCA"/>
    <w:rsid w:val="00EA2C71"/>
    <w:rsid w:val="00EA7E56"/>
    <w:rsid w:val="00EB021E"/>
    <w:rsid w:val="00EB05ED"/>
    <w:rsid w:val="00EB0C4B"/>
    <w:rsid w:val="00EB0DC4"/>
    <w:rsid w:val="00EB0E52"/>
    <w:rsid w:val="00EB1F77"/>
    <w:rsid w:val="00EB506E"/>
    <w:rsid w:val="00EC63A7"/>
    <w:rsid w:val="00ED0D35"/>
    <w:rsid w:val="00ED1E20"/>
    <w:rsid w:val="00ED2F21"/>
    <w:rsid w:val="00ED2FB9"/>
    <w:rsid w:val="00ED40AD"/>
    <w:rsid w:val="00ED4C47"/>
    <w:rsid w:val="00ED4D48"/>
    <w:rsid w:val="00ED70B4"/>
    <w:rsid w:val="00ED7226"/>
    <w:rsid w:val="00EE0F98"/>
    <w:rsid w:val="00EE2A0A"/>
    <w:rsid w:val="00EE2DA4"/>
    <w:rsid w:val="00EE4005"/>
    <w:rsid w:val="00EE4C19"/>
    <w:rsid w:val="00EE4D7D"/>
    <w:rsid w:val="00EE774B"/>
    <w:rsid w:val="00EF170D"/>
    <w:rsid w:val="00EF19BF"/>
    <w:rsid w:val="00EF23AC"/>
    <w:rsid w:val="00EF33E9"/>
    <w:rsid w:val="00EF36DF"/>
    <w:rsid w:val="00EF65C0"/>
    <w:rsid w:val="00EF7534"/>
    <w:rsid w:val="00EF7B68"/>
    <w:rsid w:val="00EF7BA0"/>
    <w:rsid w:val="00F00972"/>
    <w:rsid w:val="00F01B20"/>
    <w:rsid w:val="00F02047"/>
    <w:rsid w:val="00F032DB"/>
    <w:rsid w:val="00F0346D"/>
    <w:rsid w:val="00F03CD9"/>
    <w:rsid w:val="00F03F58"/>
    <w:rsid w:val="00F045E3"/>
    <w:rsid w:val="00F05511"/>
    <w:rsid w:val="00F06681"/>
    <w:rsid w:val="00F06C75"/>
    <w:rsid w:val="00F0711F"/>
    <w:rsid w:val="00F0715F"/>
    <w:rsid w:val="00F071CD"/>
    <w:rsid w:val="00F10C7F"/>
    <w:rsid w:val="00F11612"/>
    <w:rsid w:val="00F124CD"/>
    <w:rsid w:val="00F127FE"/>
    <w:rsid w:val="00F1285B"/>
    <w:rsid w:val="00F14DB7"/>
    <w:rsid w:val="00F14F6E"/>
    <w:rsid w:val="00F20994"/>
    <w:rsid w:val="00F2287E"/>
    <w:rsid w:val="00F22C96"/>
    <w:rsid w:val="00F22ED1"/>
    <w:rsid w:val="00F24866"/>
    <w:rsid w:val="00F27225"/>
    <w:rsid w:val="00F30258"/>
    <w:rsid w:val="00F313E2"/>
    <w:rsid w:val="00F32B6C"/>
    <w:rsid w:val="00F361E3"/>
    <w:rsid w:val="00F401C9"/>
    <w:rsid w:val="00F407D9"/>
    <w:rsid w:val="00F41844"/>
    <w:rsid w:val="00F41E24"/>
    <w:rsid w:val="00F45A66"/>
    <w:rsid w:val="00F47A5A"/>
    <w:rsid w:val="00F504AD"/>
    <w:rsid w:val="00F51460"/>
    <w:rsid w:val="00F518F2"/>
    <w:rsid w:val="00F51C8B"/>
    <w:rsid w:val="00F542F3"/>
    <w:rsid w:val="00F54EDC"/>
    <w:rsid w:val="00F60526"/>
    <w:rsid w:val="00F6130E"/>
    <w:rsid w:val="00F61EE2"/>
    <w:rsid w:val="00F625E4"/>
    <w:rsid w:val="00F65C61"/>
    <w:rsid w:val="00F66421"/>
    <w:rsid w:val="00F67759"/>
    <w:rsid w:val="00F72551"/>
    <w:rsid w:val="00F73484"/>
    <w:rsid w:val="00F748B8"/>
    <w:rsid w:val="00F75069"/>
    <w:rsid w:val="00F75123"/>
    <w:rsid w:val="00F76090"/>
    <w:rsid w:val="00F77C8E"/>
    <w:rsid w:val="00F80464"/>
    <w:rsid w:val="00F8342E"/>
    <w:rsid w:val="00F83D75"/>
    <w:rsid w:val="00F8456D"/>
    <w:rsid w:val="00F847C6"/>
    <w:rsid w:val="00F87CC2"/>
    <w:rsid w:val="00F9063F"/>
    <w:rsid w:val="00F90B81"/>
    <w:rsid w:val="00F912E2"/>
    <w:rsid w:val="00F91DD6"/>
    <w:rsid w:val="00F9528D"/>
    <w:rsid w:val="00F96F2A"/>
    <w:rsid w:val="00F97818"/>
    <w:rsid w:val="00FA1933"/>
    <w:rsid w:val="00FA271F"/>
    <w:rsid w:val="00FA7E7A"/>
    <w:rsid w:val="00FB0E0E"/>
    <w:rsid w:val="00FB0EBD"/>
    <w:rsid w:val="00FB151D"/>
    <w:rsid w:val="00FB27E2"/>
    <w:rsid w:val="00FB2B36"/>
    <w:rsid w:val="00FB2D03"/>
    <w:rsid w:val="00FB44B4"/>
    <w:rsid w:val="00FB44BC"/>
    <w:rsid w:val="00FB4F69"/>
    <w:rsid w:val="00FB5BC6"/>
    <w:rsid w:val="00FB73F4"/>
    <w:rsid w:val="00FB784C"/>
    <w:rsid w:val="00FC271A"/>
    <w:rsid w:val="00FC3252"/>
    <w:rsid w:val="00FC4899"/>
    <w:rsid w:val="00FC4A60"/>
    <w:rsid w:val="00FC532D"/>
    <w:rsid w:val="00FC61F0"/>
    <w:rsid w:val="00FC7074"/>
    <w:rsid w:val="00FD0FA7"/>
    <w:rsid w:val="00FD1710"/>
    <w:rsid w:val="00FD3C9B"/>
    <w:rsid w:val="00FD3D7B"/>
    <w:rsid w:val="00FD4076"/>
    <w:rsid w:val="00FE0B80"/>
    <w:rsid w:val="00FE21DA"/>
    <w:rsid w:val="00FE2D09"/>
    <w:rsid w:val="00FE2E38"/>
    <w:rsid w:val="00FE37C0"/>
    <w:rsid w:val="00FE3E44"/>
    <w:rsid w:val="00FE4E97"/>
    <w:rsid w:val="00FE51E3"/>
    <w:rsid w:val="00FE5708"/>
    <w:rsid w:val="00FE5D7D"/>
    <w:rsid w:val="00FF1AE9"/>
    <w:rsid w:val="00FF1DE6"/>
    <w:rsid w:val="00FF44B7"/>
    <w:rsid w:val="00FF4EFD"/>
    <w:rsid w:val="00FF5CD6"/>
    <w:rsid w:val="00FF5E86"/>
    <w:rsid w:val="010640CC"/>
    <w:rsid w:val="01064A08"/>
    <w:rsid w:val="011562D2"/>
    <w:rsid w:val="01A56261"/>
    <w:rsid w:val="01CC133A"/>
    <w:rsid w:val="01D20A5A"/>
    <w:rsid w:val="01FF1E15"/>
    <w:rsid w:val="020058B7"/>
    <w:rsid w:val="02017907"/>
    <w:rsid w:val="02462227"/>
    <w:rsid w:val="025E68E4"/>
    <w:rsid w:val="026C4B3E"/>
    <w:rsid w:val="02790832"/>
    <w:rsid w:val="02881DEE"/>
    <w:rsid w:val="028D4D25"/>
    <w:rsid w:val="029B0168"/>
    <w:rsid w:val="02D40C1B"/>
    <w:rsid w:val="02D74ECB"/>
    <w:rsid w:val="030D4835"/>
    <w:rsid w:val="03141EB6"/>
    <w:rsid w:val="031D5E5C"/>
    <w:rsid w:val="03487621"/>
    <w:rsid w:val="03510C26"/>
    <w:rsid w:val="03667C72"/>
    <w:rsid w:val="036D1000"/>
    <w:rsid w:val="038360B5"/>
    <w:rsid w:val="03B548D0"/>
    <w:rsid w:val="03BA2ABC"/>
    <w:rsid w:val="03F00227"/>
    <w:rsid w:val="03F00B9A"/>
    <w:rsid w:val="044A0703"/>
    <w:rsid w:val="047F723D"/>
    <w:rsid w:val="048001EE"/>
    <w:rsid w:val="04A13D44"/>
    <w:rsid w:val="04E067F8"/>
    <w:rsid w:val="04F327E0"/>
    <w:rsid w:val="050D4849"/>
    <w:rsid w:val="053A13FE"/>
    <w:rsid w:val="05616943"/>
    <w:rsid w:val="05746676"/>
    <w:rsid w:val="05983BBD"/>
    <w:rsid w:val="05A472D3"/>
    <w:rsid w:val="05A655BE"/>
    <w:rsid w:val="05AA1C3F"/>
    <w:rsid w:val="05BE3726"/>
    <w:rsid w:val="0605043B"/>
    <w:rsid w:val="06344057"/>
    <w:rsid w:val="064C16BC"/>
    <w:rsid w:val="06512914"/>
    <w:rsid w:val="06520AA9"/>
    <w:rsid w:val="067B3A34"/>
    <w:rsid w:val="069A766F"/>
    <w:rsid w:val="06BB0515"/>
    <w:rsid w:val="06DC117D"/>
    <w:rsid w:val="06E8731C"/>
    <w:rsid w:val="073133BC"/>
    <w:rsid w:val="07C801C9"/>
    <w:rsid w:val="07C8446C"/>
    <w:rsid w:val="0819710D"/>
    <w:rsid w:val="08494592"/>
    <w:rsid w:val="087119E8"/>
    <w:rsid w:val="08726451"/>
    <w:rsid w:val="0874698D"/>
    <w:rsid w:val="08891D2A"/>
    <w:rsid w:val="088A2D1F"/>
    <w:rsid w:val="08955D0F"/>
    <w:rsid w:val="089909A9"/>
    <w:rsid w:val="089E625C"/>
    <w:rsid w:val="08A234FA"/>
    <w:rsid w:val="08C03F2B"/>
    <w:rsid w:val="08C74B52"/>
    <w:rsid w:val="08C93A4B"/>
    <w:rsid w:val="08E92C08"/>
    <w:rsid w:val="09152080"/>
    <w:rsid w:val="092616BA"/>
    <w:rsid w:val="09263687"/>
    <w:rsid w:val="092B50CE"/>
    <w:rsid w:val="095A4A34"/>
    <w:rsid w:val="097721BF"/>
    <w:rsid w:val="09AE1AAC"/>
    <w:rsid w:val="09D55DD7"/>
    <w:rsid w:val="09F91840"/>
    <w:rsid w:val="0A205BC5"/>
    <w:rsid w:val="0A3B59B5"/>
    <w:rsid w:val="0A871019"/>
    <w:rsid w:val="0AA61249"/>
    <w:rsid w:val="0AB6328D"/>
    <w:rsid w:val="0AB8449F"/>
    <w:rsid w:val="0AD73BC8"/>
    <w:rsid w:val="0ADA6725"/>
    <w:rsid w:val="0ADA7890"/>
    <w:rsid w:val="0B821EF4"/>
    <w:rsid w:val="0BAA5D2C"/>
    <w:rsid w:val="0BDA2FAB"/>
    <w:rsid w:val="0C1F363C"/>
    <w:rsid w:val="0C237B31"/>
    <w:rsid w:val="0C5D60B6"/>
    <w:rsid w:val="0CBD0B0F"/>
    <w:rsid w:val="0CED4554"/>
    <w:rsid w:val="0D1904D8"/>
    <w:rsid w:val="0D49017D"/>
    <w:rsid w:val="0D52055C"/>
    <w:rsid w:val="0D5E31E7"/>
    <w:rsid w:val="0D6214AA"/>
    <w:rsid w:val="0D823F06"/>
    <w:rsid w:val="0E2502F7"/>
    <w:rsid w:val="0E326E1B"/>
    <w:rsid w:val="0E4A08BC"/>
    <w:rsid w:val="0E5507A6"/>
    <w:rsid w:val="0E551AE8"/>
    <w:rsid w:val="0E5E2859"/>
    <w:rsid w:val="0E637657"/>
    <w:rsid w:val="0E6970BE"/>
    <w:rsid w:val="0EF13E70"/>
    <w:rsid w:val="0EFA29A4"/>
    <w:rsid w:val="0F3B0205"/>
    <w:rsid w:val="0F4159AC"/>
    <w:rsid w:val="0F496CEE"/>
    <w:rsid w:val="0F4C41C0"/>
    <w:rsid w:val="0F541A8E"/>
    <w:rsid w:val="0F874418"/>
    <w:rsid w:val="0F95760D"/>
    <w:rsid w:val="0FEE5277"/>
    <w:rsid w:val="0FF74205"/>
    <w:rsid w:val="10511573"/>
    <w:rsid w:val="108638AA"/>
    <w:rsid w:val="10C4379C"/>
    <w:rsid w:val="10CF134A"/>
    <w:rsid w:val="10D604F0"/>
    <w:rsid w:val="10DC34B5"/>
    <w:rsid w:val="10E8616A"/>
    <w:rsid w:val="10EB680E"/>
    <w:rsid w:val="113B7EFA"/>
    <w:rsid w:val="114B2D1A"/>
    <w:rsid w:val="117B38FA"/>
    <w:rsid w:val="11EC7CB7"/>
    <w:rsid w:val="1219420C"/>
    <w:rsid w:val="121E62E8"/>
    <w:rsid w:val="12387A9A"/>
    <w:rsid w:val="1240001B"/>
    <w:rsid w:val="126F1CAA"/>
    <w:rsid w:val="128536A4"/>
    <w:rsid w:val="128E2F4C"/>
    <w:rsid w:val="129111D6"/>
    <w:rsid w:val="1291611B"/>
    <w:rsid w:val="129A3494"/>
    <w:rsid w:val="12A84FAA"/>
    <w:rsid w:val="12AF0CEE"/>
    <w:rsid w:val="12F57F45"/>
    <w:rsid w:val="12FC5EFD"/>
    <w:rsid w:val="12FD3E9B"/>
    <w:rsid w:val="12FE76EB"/>
    <w:rsid w:val="13031039"/>
    <w:rsid w:val="13446F00"/>
    <w:rsid w:val="134A310C"/>
    <w:rsid w:val="137F3BE3"/>
    <w:rsid w:val="13833F28"/>
    <w:rsid w:val="139E41CE"/>
    <w:rsid w:val="13C26E98"/>
    <w:rsid w:val="13C70A93"/>
    <w:rsid w:val="13F111A4"/>
    <w:rsid w:val="13F310AE"/>
    <w:rsid w:val="141C2F82"/>
    <w:rsid w:val="143376FC"/>
    <w:rsid w:val="14432F26"/>
    <w:rsid w:val="146D1135"/>
    <w:rsid w:val="14773A8D"/>
    <w:rsid w:val="14A8633C"/>
    <w:rsid w:val="14B22D17"/>
    <w:rsid w:val="14B56A45"/>
    <w:rsid w:val="14B66BA5"/>
    <w:rsid w:val="14BC746F"/>
    <w:rsid w:val="14ED3D4F"/>
    <w:rsid w:val="154C263F"/>
    <w:rsid w:val="15744470"/>
    <w:rsid w:val="15861F52"/>
    <w:rsid w:val="15CA2D3E"/>
    <w:rsid w:val="16082E04"/>
    <w:rsid w:val="161812A0"/>
    <w:rsid w:val="162458BE"/>
    <w:rsid w:val="16500A3A"/>
    <w:rsid w:val="165A5414"/>
    <w:rsid w:val="16685D83"/>
    <w:rsid w:val="167C4F45"/>
    <w:rsid w:val="168626AD"/>
    <w:rsid w:val="168B3A44"/>
    <w:rsid w:val="16A85011"/>
    <w:rsid w:val="16B234A2"/>
    <w:rsid w:val="16B34A81"/>
    <w:rsid w:val="16BB7B7E"/>
    <w:rsid w:val="16D73035"/>
    <w:rsid w:val="17014A1A"/>
    <w:rsid w:val="1702600A"/>
    <w:rsid w:val="17345C65"/>
    <w:rsid w:val="173D5438"/>
    <w:rsid w:val="1746570F"/>
    <w:rsid w:val="17474C88"/>
    <w:rsid w:val="174A03C5"/>
    <w:rsid w:val="175956CC"/>
    <w:rsid w:val="175D1F31"/>
    <w:rsid w:val="176471DF"/>
    <w:rsid w:val="17681D7E"/>
    <w:rsid w:val="17BF5E77"/>
    <w:rsid w:val="17C920C7"/>
    <w:rsid w:val="17E51656"/>
    <w:rsid w:val="180939C1"/>
    <w:rsid w:val="18143D41"/>
    <w:rsid w:val="18245CDA"/>
    <w:rsid w:val="18561C0B"/>
    <w:rsid w:val="185C0364"/>
    <w:rsid w:val="187244F7"/>
    <w:rsid w:val="18743B51"/>
    <w:rsid w:val="18753B72"/>
    <w:rsid w:val="18C1177B"/>
    <w:rsid w:val="18DA6CE0"/>
    <w:rsid w:val="1902658B"/>
    <w:rsid w:val="19104318"/>
    <w:rsid w:val="19214D23"/>
    <w:rsid w:val="19266B69"/>
    <w:rsid w:val="19597230"/>
    <w:rsid w:val="19816DB3"/>
    <w:rsid w:val="19BD63E6"/>
    <w:rsid w:val="19C25144"/>
    <w:rsid w:val="19CD3751"/>
    <w:rsid w:val="19DE3255"/>
    <w:rsid w:val="19E258B9"/>
    <w:rsid w:val="19FC677D"/>
    <w:rsid w:val="1A3B0EDC"/>
    <w:rsid w:val="1A514D80"/>
    <w:rsid w:val="1A933C3F"/>
    <w:rsid w:val="1AB570BD"/>
    <w:rsid w:val="1AF86984"/>
    <w:rsid w:val="1B1D3041"/>
    <w:rsid w:val="1B373F76"/>
    <w:rsid w:val="1B520D76"/>
    <w:rsid w:val="1B5E5622"/>
    <w:rsid w:val="1B5F25A5"/>
    <w:rsid w:val="1B5F700C"/>
    <w:rsid w:val="1B847AE3"/>
    <w:rsid w:val="1BB27280"/>
    <w:rsid w:val="1BC021BE"/>
    <w:rsid w:val="1BD313BA"/>
    <w:rsid w:val="1BE75582"/>
    <w:rsid w:val="1BF41B7A"/>
    <w:rsid w:val="1C0626C3"/>
    <w:rsid w:val="1C077DEC"/>
    <w:rsid w:val="1C406E5A"/>
    <w:rsid w:val="1C7E1112"/>
    <w:rsid w:val="1C7E791F"/>
    <w:rsid w:val="1CB56D18"/>
    <w:rsid w:val="1D097B94"/>
    <w:rsid w:val="1D0C4F8F"/>
    <w:rsid w:val="1D103DCB"/>
    <w:rsid w:val="1D28001A"/>
    <w:rsid w:val="1D2A4CDD"/>
    <w:rsid w:val="1D3910A2"/>
    <w:rsid w:val="1D5105C1"/>
    <w:rsid w:val="1D6D1ED1"/>
    <w:rsid w:val="1DA3071C"/>
    <w:rsid w:val="1DF45D5F"/>
    <w:rsid w:val="1E224654"/>
    <w:rsid w:val="1E253B38"/>
    <w:rsid w:val="1E314200"/>
    <w:rsid w:val="1E6627AD"/>
    <w:rsid w:val="1E6B715D"/>
    <w:rsid w:val="1E6E7EF3"/>
    <w:rsid w:val="1E71154D"/>
    <w:rsid w:val="1EA062D6"/>
    <w:rsid w:val="1ED514ED"/>
    <w:rsid w:val="1ED55F80"/>
    <w:rsid w:val="1ED800D2"/>
    <w:rsid w:val="1EF5217E"/>
    <w:rsid w:val="1F200112"/>
    <w:rsid w:val="1F217255"/>
    <w:rsid w:val="1F4E6D6D"/>
    <w:rsid w:val="1F92653C"/>
    <w:rsid w:val="1F9E49AA"/>
    <w:rsid w:val="1FA00144"/>
    <w:rsid w:val="1FCB4355"/>
    <w:rsid w:val="1FD9384E"/>
    <w:rsid w:val="202B4E25"/>
    <w:rsid w:val="204033C3"/>
    <w:rsid w:val="208421EA"/>
    <w:rsid w:val="20BB2DEE"/>
    <w:rsid w:val="20C55B80"/>
    <w:rsid w:val="20F052F3"/>
    <w:rsid w:val="20F239CD"/>
    <w:rsid w:val="20FD2D5C"/>
    <w:rsid w:val="21020B82"/>
    <w:rsid w:val="210309DF"/>
    <w:rsid w:val="21124297"/>
    <w:rsid w:val="21B17FE2"/>
    <w:rsid w:val="21C83B7A"/>
    <w:rsid w:val="21DA0A4C"/>
    <w:rsid w:val="21FA6DF4"/>
    <w:rsid w:val="22057CDF"/>
    <w:rsid w:val="225C32EA"/>
    <w:rsid w:val="22623EB1"/>
    <w:rsid w:val="22715FC0"/>
    <w:rsid w:val="22A014B6"/>
    <w:rsid w:val="22B8599C"/>
    <w:rsid w:val="22F83B14"/>
    <w:rsid w:val="2305495A"/>
    <w:rsid w:val="233F1E96"/>
    <w:rsid w:val="23821D2B"/>
    <w:rsid w:val="238B30B1"/>
    <w:rsid w:val="238E494F"/>
    <w:rsid w:val="23914460"/>
    <w:rsid w:val="23BC0C14"/>
    <w:rsid w:val="23D93719"/>
    <w:rsid w:val="23EA6F56"/>
    <w:rsid w:val="241E61CB"/>
    <w:rsid w:val="24417C14"/>
    <w:rsid w:val="247810A0"/>
    <w:rsid w:val="24B651D3"/>
    <w:rsid w:val="24C96E6B"/>
    <w:rsid w:val="24DF64A5"/>
    <w:rsid w:val="24E9591D"/>
    <w:rsid w:val="25007ACF"/>
    <w:rsid w:val="25024C15"/>
    <w:rsid w:val="25087AFC"/>
    <w:rsid w:val="253D2B5C"/>
    <w:rsid w:val="2545054F"/>
    <w:rsid w:val="254C5B3F"/>
    <w:rsid w:val="25784B2E"/>
    <w:rsid w:val="25855348"/>
    <w:rsid w:val="25DA088A"/>
    <w:rsid w:val="25FE211B"/>
    <w:rsid w:val="269C05C1"/>
    <w:rsid w:val="26E543C0"/>
    <w:rsid w:val="26EC19A0"/>
    <w:rsid w:val="270B5D7B"/>
    <w:rsid w:val="274A6DDF"/>
    <w:rsid w:val="278E4360"/>
    <w:rsid w:val="27B760B3"/>
    <w:rsid w:val="27C77D4E"/>
    <w:rsid w:val="27EE154C"/>
    <w:rsid w:val="281B76B8"/>
    <w:rsid w:val="283A5B04"/>
    <w:rsid w:val="28447CD2"/>
    <w:rsid w:val="284F0E01"/>
    <w:rsid w:val="288A5A69"/>
    <w:rsid w:val="28CD0060"/>
    <w:rsid w:val="28E76707"/>
    <w:rsid w:val="28F5473D"/>
    <w:rsid w:val="29375F39"/>
    <w:rsid w:val="296543A4"/>
    <w:rsid w:val="29763C45"/>
    <w:rsid w:val="298062FF"/>
    <w:rsid w:val="29AF3F5E"/>
    <w:rsid w:val="29BF3AB4"/>
    <w:rsid w:val="29C72969"/>
    <w:rsid w:val="29DB108D"/>
    <w:rsid w:val="29F20C57"/>
    <w:rsid w:val="2A005E7B"/>
    <w:rsid w:val="2A320DD4"/>
    <w:rsid w:val="2A3E7CA9"/>
    <w:rsid w:val="2A835B6A"/>
    <w:rsid w:val="2A8B79CE"/>
    <w:rsid w:val="2AB94FB3"/>
    <w:rsid w:val="2AE37648"/>
    <w:rsid w:val="2AF24C18"/>
    <w:rsid w:val="2AF346E9"/>
    <w:rsid w:val="2B1971F4"/>
    <w:rsid w:val="2B2636BF"/>
    <w:rsid w:val="2B270026"/>
    <w:rsid w:val="2B3040D5"/>
    <w:rsid w:val="2B502629"/>
    <w:rsid w:val="2BBE1B4A"/>
    <w:rsid w:val="2BD36A43"/>
    <w:rsid w:val="2BD8765C"/>
    <w:rsid w:val="2BFD08C4"/>
    <w:rsid w:val="2C066D52"/>
    <w:rsid w:val="2C324A12"/>
    <w:rsid w:val="2C464864"/>
    <w:rsid w:val="2C5F157F"/>
    <w:rsid w:val="2C7D06F2"/>
    <w:rsid w:val="2C885601"/>
    <w:rsid w:val="2C894394"/>
    <w:rsid w:val="2C90417F"/>
    <w:rsid w:val="2CE83322"/>
    <w:rsid w:val="2CF92C0E"/>
    <w:rsid w:val="2D7D7F0E"/>
    <w:rsid w:val="2D816708"/>
    <w:rsid w:val="2D824C80"/>
    <w:rsid w:val="2D8A7365"/>
    <w:rsid w:val="2D8D6BA9"/>
    <w:rsid w:val="2DAA4A7C"/>
    <w:rsid w:val="2DB2482A"/>
    <w:rsid w:val="2DC0604D"/>
    <w:rsid w:val="2DCE7A2F"/>
    <w:rsid w:val="2DE65D89"/>
    <w:rsid w:val="2E0958B3"/>
    <w:rsid w:val="2E446EC7"/>
    <w:rsid w:val="2E486712"/>
    <w:rsid w:val="2E772F68"/>
    <w:rsid w:val="2E8E7271"/>
    <w:rsid w:val="2E913546"/>
    <w:rsid w:val="2F1D75CA"/>
    <w:rsid w:val="2F3565C7"/>
    <w:rsid w:val="2F3E66C3"/>
    <w:rsid w:val="2F4D1732"/>
    <w:rsid w:val="2FD1009E"/>
    <w:rsid w:val="2FD22068"/>
    <w:rsid w:val="2FFF3D60"/>
    <w:rsid w:val="30284950"/>
    <w:rsid w:val="303F66E2"/>
    <w:rsid w:val="30B215E2"/>
    <w:rsid w:val="30BA6D84"/>
    <w:rsid w:val="30C35D16"/>
    <w:rsid w:val="3102072B"/>
    <w:rsid w:val="312410FB"/>
    <w:rsid w:val="31A22367"/>
    <w:rsid w:val="31C3571F"/>
    <w:rsid w:val="31C6519A"/>
    <w:rsid w:val="31D06C29"/>
    <w:rsid w:val="31D603C6"/>
    <w:rsid w:val="322F6AAF"/>
    <w:rsid w:val="32456B21"/>
    <w:rsid w:val="32546D64"/>
    <w:rsid w:val="325A5389"/>
    <w:rsid w:val="325B4596"/>
    <w:rsid w:val="325D2D20"/>
    <w:rsid w:val="32686602"/>
    <w:rsid w:val="32816E64"/>
    <w:rsid w:val="328A09D8"/>
    <w:rsid w:val="32D21006"/>
    <w:rsid w:val="32F51777"/>
    <w:rsid w:val="32F742BF"/>
    <w:rsid w:val="33116E29"/>
    <w:rsid w:val="331456EA"/>
    <w:rsid w:val="33197277"/>
    <w:rsid w:val="33203C5F"/>
    <w:rsid w:val="3322399D"/>
    <w:rsid w:val="334F74A3"/>
    <w:rsid w:val="3353526D"/>
    <w:rsid w:val="336E2CF5"/>
    <w:rsid w:val="33845A2F"/>
    <w:rsid w:val="33845CF5"/>
    <w:rsid w:val="33955886"/>
    <w:rsid w:val="339B5C84"/>
    <w:rsid w:val="33B53C3A"/>
    <w:rsid w:val="33CD32D0"/>
    <w:rsid w:val="340575D5"/>
    <w:rsid w:val="340D18C0"/>
    <w:rsid w:val="34115391"/>
    <w:rsid w:val="341B22E8"/>
    <w:rsid w:val="343F6B5B"/>
    <w:rsid w:val="34504C29"/>
    <w:rsid w:val="345B0D66"/>
    <w:rsid w:val="3463640A"/>
    <w:rsid w:val="346F6A70"/>
    <w:rsid w:val="34717F80"/>
    <w:rsid w:val="34760988"/>
    <w:rsid w:val="3491598B"/>
    <w:rsid w:val="34B30D17"/>
    <w:rsid w:val="34B82364"/>
    <w:rsid w:val="35613C72"/>
    <w:rsid w:val="3591146E"/>
    <w:rsid w:val="359D46E5"/>
    <w:rsid w:val="35B446E9"/>
    <w:rsid w:val="35DA410B"/>
    <w:rsid w:val="35EAF761"/>
    <w:rsid w:val="364A64BA"/>
    <w:rsid w:val="36767B73"/>
    <w:rsid w:val="368A1A2D"/>
    <w:rsid w:val="369D20BB"/>
    <w:rsid w:val="369E54F7"/>
    <w:rsid w:val="36C07B0C"/>
    <w:rsid w:val="371C7064"/>
    <w:rsid w:val="376B702A"/>
    <w:rsid w:val="37706C07"/>
    <w:rsid w:val="377530F2"/>
    <w:rsid w:val="37A04D9E"/>
    <w:rsid w:val="37A85D2E"/>
    <w:rsid w:val="38156F95"/>
    <w:rsid w:val="383F7F53"/>
    <w:rsid w:val="385120F5"/>
    <w:rsid w:val="3859436B"/>
    <w:rsid w:val="389E77FF"/>
    <w:rsid w:val="38B64CF2"/>
    <w:rsid w:val="38D05F67"/>
    <w:rsid w:val="38D942D1"/>
    <w:rsid w:val="3907382B"/>
    <w:rsid w:val="391A7FD8"/>
    <w:rsid w:val="392F3E4F"/>
    <w:rsid w:val="39467712"/>
    <w:rsid w:val="39BD1F51"/>
    <w:rsid w:val="39C46EC5"/>
    <w:rsid w:val="39CB43DF"/>
    <w:rsid w:val="39D30EB6"/>
    <w:rsid w:val="39DD3AE3"/>
    <w:rsid w:val="39DF5AAD"/>
    <w:rsid w:val="3A0948D8"/>
    <w:rsid w:val="3A3519D1"/>
    <w:rsid w:val="3A4B4BE0"/>
    <w:rsid w:val="3A573895"/>
    <w:rsid w:val="3A6D130B"/>
    <w:rsid w:val="3A847B2D"/>
    <w:rsid w:val="3A881FA5"/>
    <w:rsid w:val="3A9B0E6E"/>
    <w:rsid w:val="3AA60379"/>
    <w:rsid w:val="3AC54C24"/>
    <w:rsid w:val="3AE80991"/>
    <w:rsid w:val="3AFC3315"/>
    <w:rsid w:val="3B942511"/>
    <w:rsid w:val="3BB99B17"/>
    <w:rsid w:val="3BD01953"/>
    <w:rsid w:val="3BD7656A"/>
    <w:rsid w:val="3C2D2B00"/>
    <w:rsid w:val="3C3A6FCB"/>
    <w:rsid w:val="3C42242E"/>
    <w:rsid w:val="3C6863EA"/>
    <w:rsid w:val="3C6A5841"/>
    <w:rsid w:val="3C9331E7"/>
    <w:rsid w:val="3C997507"/>
    <w:rsid w:val="3C9D24E9"/>
    <w:rsid w:val="3CC15863"/>
    <w:rsid w:val="3CC414D7"/>
    <w:rsid w:val="3D0F0457"/>
    <w:rsid w:val="3D241EDC"/>
    <w:rsid w:val="3D71170F"/>
    <w:rsid w:val="3D9077EA"/>
    <w:rsid w:val="3D98797C"/>
    <w:rsid w:val="3DAB3BC4"/>
    <w:rsid w:val="3DAE0265"/>
    <w:rsid w:val="3DC47494"/>
    <w:rsid w:val="3DD57D3F"/>
    <w:rsid w:val="3DD920DC"/>
    <w:rsid w:val="3DF77869"/>
    <w:rsid w:val="3E060836"/>
    <w:rsid w:val="3E3013B3"/>
    <w:rsid w:val="3EB61016"/>
    <w:rsid w:val="3ED1521A"/>
    <w:rsid w:val="3EFA49DF"/>
    <w:rsid w:val="3F035D9A"/>
    <w:rsid w:val="3F450160"/>
    <w:rsid w:val="3F6251F8"/>
    <w:rsid w:val="3F632CDC"/>
    <w:rsid w:val="3F7F7B16"/>
    <w:rsid w:val="3F8E1B07"/>
    <w:rsid w:val="3FDA2F9E"/>
    <w:rsid w:val="3FDFC025"/>
    <w:rsid w:val="3FE16DEF"/>
    <w:rsid w:val="3FF22667"/>
    <w:rsid w:val="401F30A7"/>
    <w:rsid w:val="40404615"/>
    <w:rsid w:val="405A40DF"/>
    <w:rsid w:val="405B543E"/>
    <w:rsid w:val="405B6502"/>
    <w:rsid w:val="40800288"/>
    <w:rsid w:val="409D5D7A"/>
    <w:rsid w:val="40A468DB"/>
    <w:rsid w:val="40D54929"/>
    <w:rsid w:val="40F27CC8"/>
    <w:rsid w:val="410B074A"/>
    <w:rsid w:val="410D1BF9"/>
    <w:rsid w:val="410F0A26"/>
    <w:rsid w:val="41263FC1"/>
    <w:rsid w:val="41434F59"/>
    <w:rsid w:val="417D43D4"/>
    <w:rsid w:val="41AF3FB7"/>
    <w:rsid w:val="41B06620"/>
    <w:rsid w:val="42132798"/>
    <w:rsid w:val="423E3151"/>
    <w:rsid w:val="4246077D"/>
    <w:rsid w:val="425E7358"/>
    <w:rsid w:val="425F59DD"/>
    <w:rsid w:val="427056F5"/>
    <w:rsid w:val="427F7E2D"/>
    <w:rsid w:val="42C011BC"/>
    <w:rsid w:val="42EB5950"/>
    <w:rsid w:val="43333DA9"/>
    <w:rsid w:val="4339681A"/>
    <w:rsid w:val="434B1150"/>
    <w:rsid w:val="43534F87"/>
    <w:rsid w:val="43692A43"/>
    <w:rsid w:val="43756F14"/>
    <w:rsid w:val="43770B04"/>
    <w:rsid w:val="43C33DCA"/>
    <w:rsid w:val="43D74429"/>
    <w:rsid w:val="43DB3F47"/>
    <w:rsid w:val="440D7CF1"/>
    <w:rsid w:val="44163A1E"/>
    <w:rsid w:val="443411EE"/>
    <w:rsid w:val="44781760"/>
    <w:rsid w:val="448E0268"/>
    <w:rsid w:val="44B64D41"/>
    <w:rsid w:val="44BA339E"/>
    <w:rsid w:val="44CD1324"/>
    <w:rsid w:val="452A22D2"/>
    <w:rsid w:val="45354821"/>
    <w:rsid w:val="453C286E"/>
    <w:rsid w:val="454021E6"/>
    <w:rsid w:val="45660E30"/>
    <w:rsid w:val="45877724"/>
    <w:rsid w:val="459050A5"/>
    <w:rsid w:val="45B46040"/>
    <w:rsid w:val="45E31208"/>
    <w:rsid w:val="45E561F9"/>
    <w:rsid w:val="45EE30CE"/>
    <w:rsid w:val="461F5BAF"/>
    <w:rsid w:val="464D4F41"/>
    <w:rsid w:val="46911EDD"/>
    <w:rsid w:val="4697205A"/>
    <w:rsid w:val="46AB2F56"/>
    <w:rsid w:val="46CC5A2A"/>
    <w:rsid w:val="46DE74E5"/>
    <w:rsid w:val="471E40C9"/>
    <w:rsid w:val="476756CE"/>
    <w:rsid w:val="47B40579"/>
    <w:rsid w:val="47B52990"/>
    <w:rsid w:val="47EE46AB"/>
    <w:rsid w:val="480037BE"/>
    <w:rsid w:val="4800405C"/>
    <w:rsid w:val="48086415"/>
    <w:rsid w:val="482242B8"/>
    <w:rsid w:val="48434A56"/>
    <w:rsid w:val="48775269"/>
    <w:rsid w:val="48BF48D1"/>
    <w:rsid w:val="49005572"/>
    <w:rsid w:val="490C202A"/>
    <w:rsid w:val="49736E18"/>
    <w:rsid w:val="498071BA"/>
    <w:rsid w:val="499646F8"/>
    <w:rsid w:val="49A540DA"/>
    <w:rsid w:val="49CD08E4"/>
    <w:rsid w:val="49E77868"/>
    <w:rsid w:val="49FE5ADB"/>
    <w:rsid w:val="4A1B3767"/>
    <w:rsid w:val="4A383F01"/>
    <w:rsid w:val="4A595408"/>
    <w:rsid w:val="4A6F057C"/>
    <w:rsid w:val="4A70067F"/>
    <w:rsid w:val="4A7463FF"/>
    <w:rsid w:val="4AAC360C"/>
    <w:rsid w:val="4AE20AD5"/>
    <w:rsid w:val="4AE46599"/>
    <w:rsid w:val="4AE56B2F"/>
    <w:rsid w:val="4B127663"/>
    <w:rsid w:val="4B6F0FB7"/>
    <w:rsid w:val="4B901847"/>
    <w:rsid w:val="4B977F95"/>
    <w:rsid w:val="4BE3077A"/>
    <w:rsid w:val="4BEE392E"/>
    <w:rsid w:val="4BEE397F"/>
    <w:rsid w:val="4C3B016F"/>
    <w:rsid w:val="4C7D2EEE"/>
    <w:rsid w:val="4D077014"/>
    <w:rsid w:val="4D07739D"/>
    <w:rsid w:val="4D10183F"/>
    <w:rsid w:val="4D3A1520"/>
    <w:rsid w:val="4D435942"/>
    <w:rsid w:val="4D6C68F4"/>
    <w:rsid w:val="4D7367E0"/>
    <w:rsid w:val="4D926C66"/>
    <w:rsid w:val="4D9E35AA"/>
    <w:rsid w:val="4DA8662F"/>
    <w:rsid w:val="4DBC3274"/>
    <w:rsid w:val="4DC93E22"/>
    <w:rsid w:val="4DD3367B"/>
    <w:rsid w:val="4DEA4CF4"/>
    <w:rsid w:val="4E5276AD"/>
    <w:rsid w:val="4E8D742A"/>
    <w:rsid w:val="4E9D3C02"/>
    <w:rsid w:val="4EEA4880"/>
    <w:rsid w:val="4F4E12B3"/>
    <w:rsid w:val="4F584754"/>
    <w:rsid w:val="4F8D7FC1"/>
    <w:rsid w:val="4F995778"/>
    <w:rsid w:val="4FA54695"/>
    <w:rsid w:val="4FAF7F80"/>
    <w:rsid w:val="4FED439D"/>
    <w:rsid w:val="4FFF54D6"/>
    <w:rsid w:val="50070165"/>
    <w:rsid w:val="501F46C7"/>
    <w:rsid w:val="502C45F4"/>
    <w:rsid w:val="503C182F"/>
    <w:rsid w:val="5073565D"/>
    <w:rsid w:val="50AB003F"/>
    <w:rsid w:val="50AD3D64"/>
    <w:rsid w:val="510B639A"/>
    <w:rsid w:val="514269D2"/>
    <w:rsid w:val="51907961"/>
    <w:rsid w:val="51B45428"/>
    <w:rsid w:val="51BD44CE"/>
    <w:rsid w:val="51BD7FB5"/>
    <w:rsid w:val="51C15AB4"/>
    <w:rsid w:val="51D0329D"/>
    <w:rsid w:val="52116F57"/>
    <w:rsid w:val="52181704"/>
    <w:rsid w:val="52250502"/>
    <w:rsid w:val="52287E72"/>
    <w:rsid w:val="525F17E0"/>
    <w:rsid w:val="52824CC9"/>
    <w:rsid w:val="528B637A"/>
    <w:rsid w:val="52905B13"/>
    <w:rsid w:val="52950FA7"/>
    <w:rsid w:val="52BE6086"/>
    <w:rsid w:val="52CA258A"/>
    <w:rsid w:val="52E76850"/>
    <w:rsid w:val="534B11BB"/>
    <w:rsid w:val="535D7D17"/>
    <w:rsid w:val="535F3A8F"/>
    <w:rsid w:val="53A25729"/>
    <w:rsid w:val="53EC109A"/>
    <w:rsid w:val="53F54917"/>
    <w:rsid w:val="53FE70FC"/>
    <w:rsid w:val="54006D9F"/>
    <w:rsid w:val="541E36EF"/>
    <w:rsid w:val="542C01FF"/>
    <w:rsid w:val="54745318"/>
    <w:rsid w:val="54790B80"/>
    <w:rsid w:val="547E6196"/>
    <w:rsid w:val="54883349"/>
    <w:rsid w:val="54B65A97"/>
    <w:rsid w:val="54D75F01"/>
    <w:rsid w:val="54E23310"/>
    <w:rsid w:val="551F0D2D"/>
    <w:rsid w:val="553E1482"/>
    <w:rsid w:val="554670E1"/>
    <w:rsid w:val="55B92DB4"/>
    <w:rsid w:val="55C53951"/>
    <w:rsid w:val="55CE14B2"/>
    <w:rsid w:val="55E43DBE"/>
    <w:rsid w:val="55F87805"/>
    <w:rsid w:val="55FB3996"/>
    <w:rsid w:val="56171238"/>
    <w:rsid w:val="56211B60"/>
    <w:rsid w:val="562F33B3"/>
    <w:rsid w:val="5632548A"/>
    <w:rsid w:val="564A4445"/>
    <w:rsid w:val="565078CA"/>
    <w:rsid w:val="565650D0"/>
    <w:rsid w:val="56603E7C"/>
    <w:rsid w:val="568D5C00"/>
    <w:rsid w:val="56924439"/>
    <w:rsid w:val="56A02CA6"/>
    <w:rsid w:val="56C91A31"/>
    <w:rsid w:val="56FB745A"/>
    <w:rsid w:val="57041A20"/>
    <w:rsid w:val="57077837"/>
    <w:rsid w:val="571F190E"/>
    <w:rsid w:val="572052E3"/>
    <w:rsid w:val="573B036F"/>
    <w:rsid w:val="575E405D"/>
    <w:rsid w:val="57B76F22"/>
    <w:rsid w:val="57BD6FD6"/>
    <w:rsid w:val="57D51A65"/>
    <w:rsid w:val="57D8796C"/>
    <w:rsid w:val="57DA5BEE"/>
    <w:rsid w:val="57F14ED1"/>
    <w:rsid w:val="58022C3B"/>
    <w:rsid w:val="5814296E"/>
    <w:rsid w:val="58411023"/>
    <w:rsid w:val="5855720E"/>
    <w:rsid w:val="589C6BEB"/>
    <w:rsid w:val="58B8779D"/>
    <w:rsid w:val="58E54E05"/>
    <w:rsid w:val="58EE08CF"/>
    <w:rsid w:val="58F84874"/>
    <w:rsid w:val="58FB6B5F"/>
    <w:rsid w:val="58FC1D80"/>
    <w:rsid w:val="59005D7D"/>
    <w:rsid w:val="5925241D"/>
    <w:rsid w:val="59304706"/>
    <w:rsid w:val="5938356A"/>
    <w:rsid w:val="59451AAD"/>
    <w:rsid w:val="596455BB"/>
    <w:rsid w:val="597F8FF9"/>
    <w:rsid w:val="59B86520"/>
    <w:rsid w:val="59BD9C8A"/>
    <w:rsid w:val="59C04B5B"/>
    <w:rsid w:val="59EA1BD8"/>
    <w:rsid w:val="59EB33A0"/>
    <w:rsid w:val="59FB2037"/>
    <w:rsid w:val="5A187C75"/>
    <w:rsid w:val="5A23587B"/>
    <w:rsid w:val="5A450480"/>
    <w:rsid w:val="5A7631A9"/>
    <w:rsid w:val="5A7E7288"/>
    <w:rsid w:val="5A8418D2"/>
    <w:rsid w:val="5A980CA3"/>
    <w:rsid w:val="5A996F37"/>
    <w:rsid w:val="5AC01788"/>
    <w:rsid w:val="5AEC372E"/>
    <w:rsid w:val="5AFB5FCC"/>
    <w:rsid w:val="5B1C2265"/>
    <w:rsid w:val="5B2451DE"/>
    <w:rsid w:val="5B510A5B"/>
    <w:rsid w:val="5B73386F"/>
    <w:rsid w:val="5B982658"/>
    <w:rsid w:val="5B9C46E4"/>
    <w:rsid w:val="5BB27DF8"/>
    <w:rsid w:val="5C120900"/>
    <w:rsid w:val="5C1D42D4"/>
    <w:rsid w:val="5C241B30"/>
    <w:rsid w:val="5C2522BB"/>
    <w:rsid w:val="5C526F4B"/>
    <w:rsid w:val="5C5B3EA2"/>
    <w:rsid w:val="5C690641"/>
    <w:rsid w:val="5C8A4062"/>
    <w:rsid w:val="5C9A520B"/>
    <w:rsid w:val="5CAF34C8"/>
    <w:rsid w:val="5CC023FA"/>
    <w:rsid w:val="5CE13766"/>
    <w:rsid w:val="5CF65A94"/>
    <w:rsid w:val="5CF97B57"/>
    <w:rsid w:val="5D1642BC"/>
    <w:rsid w:val="5D186A5C"/>
    <w:rsid w:val="5D296DE4"/>
    <w:rsid w:val="5D4C13D7"/>
    <w:rsid w:val="5D545550"/>
    <w:rsid w:val="5D5E4DB7"/>
    <w:rsid w:val="5D7E11F4"/>
    <w:rsid w:val="5D850596"/>
    <w:rsid w:val="5DA56D62"/>
    <w:rsid w:val="5DCF6A18"/>
    <w:rsid w:val="5DD22FD0"/>
    <w:rsid w:val="5DDB1F64"/>
    <w:rsid w:val="5DEF5A0F"/>
    <w:rsid w:val="5DF66BFC"/>
    <w:rsid w:val="5E4822A8"/>
    <w:rsid w:val="5E5D506F"/>
    <w:rsid w:val="5E6C7060"/>
    <w:rsid w:val="5E7447B2"/>
    <w:rsid w:val="5E7F6C14"/>
    <w:rsid w:val="5E8555DA"/>
    <w:rsid w:val="5E912F6A"/>
    <w:rsid w:val="5E916546"/>
    <w:rsid w:val="5EB15425"/>
    <w:rsid w:val="5EF451EC"/>
    <w:rsid w:val="5EFF1F48"/>
    <w:rsid w:val="5EFFCFE0"/>
    <w:rsid w:val="5F605F9A"/>
    <w:rsid w:val="5F6B2DBA"/>
    <w:rsid w:val="5F7677D7"/>
    <w:rsid w:val="5F797C86"/>
    <w:rsid w:val="5F807C95"/>
    <w:rsid w:val="5F8673EF"/>
    <w:rsid w:val="5F8D54D8"/>
    <w:rsid w:val="5F94496D"/>
    <w:rsid w:val="5F945377"/>
    <w:rsid w:val="5FB94527"/>
    <w:rsid w:val="5FEF2534"/>
    <w:rsid w:val="6005776C"/>
    <w:rsid w:val="602A58B7"/>
    <w:rsid w:val="602B6402"/>
    <w:rsid w:val="60681AA9"/>
    <w:rsid w:val="606D714B"/>
    <w:rsid w:val="60791F08"/>
    <w:rsid w:val="60911071"/>
    <w:rsid w:val="60997EB4"/>
    <w:rsid w:val="609A1858"/>
    <w:rsid w:val="60E97295"/>
    <w:rsid w:val="614D5EC2"/>
    <w:rsid w:val="61534507"/>
    <w:rsid w:val="61855D2D"/>
    <w:rsid w:val="61A00623"/>
    <w:rsid w:val="61AF4992"/>
    <w:rsid w:val="61FB4D8E"/>
    <w:rsid w:val="62913539"/>
    <w:rsid w:val="62946852"/>
    <w:rsid w:val="629923ED"/>
    <w:rsid w:val="62B24C1D"/>
    <w:rsid w:val="62DE4605"/>
    <w:rsid w:val="62E25B42"/>
    <w:rsid w:val="62E64BE2"/>
    <w:rsid w:val="631D301E"/>
    <w:rsid w:val="631F4356"/>
    <w:rsid w:val="633839B4"/>
    <w:rsid w:val="63491004"/>
    <w:rsid w:val="63815B56"/>
    <w:rsid w:val="63967B3E"/>
    <w:rsid w:val="63C34A26"/>
    <w:rsid w:val="63C67212"/>
    <w:rsid w:val="64021829"/>
    <w:rsid w:val="64025D70"/>
    <w:rsid w:val="646118A5"/>
    <w:rsid w:val="646627A3"/>
    <w:rsid w:val="646F5DDE"/>
    <w:rsid w:val="64946690"/>
    <w:rsid w:val="64A2188E"/>
    <w:rsid w:val="64AB56D0"/>
    <w:rsid w:val="64AD4F13"/>
    <w:rsid w:val="64B41DA5"/>
    <w:rsid w:val="64C06FB2"/>
    <w:rsid w:val="65136487"/>
    <w:rsid w:val="65252A1E"/>
    <w:rsid w:val="65613D5D"/>
    <w:rsid w:val="6563469E"/>
    <w:rsid w:val="65673F4D"/>
    <w:rsid w:val="65736F26"/>
    <w:rsid w:val="65856959"/>
    <w:rsid w:val="658E3B2A"/>
    <w:rsid w:val="659B28B6"/>
    <w:rsid w:val="65B81F8F"/>
    <w:rsid w:val="65BC08CD"/>
    <w:rsid w:val="65DC5E81"/>
    <w:rsid w:val="65DD1B38"/>
    <w:rsid w:val="65FD7CC9"/>
    <w:rsid w:val="66041A1B"/>
    <w:rsid w:val="66045E1B"/>
    <w:rsid w:val="661A5D6E"/>
    <w:rsid w:val="661D706D"/>
    <w:rsid w:val="663311D1"/>
    <w:rsid w:val="6647794F"/>
    <w:rsid w:val="66495CA1"/>
    <w:rsid w:val="667744C7"/>
    <w:rsid w:val="667C62AE"/>
    <w:rsid w:val="66833C8A"/>
    <w:rsid w:val="669058B5"/>
    <w:rsid w:val="66990B79"/>
    <w:rsid w:val="66D30950"/>
    <w:rsid w:val="66D734E4"/>
    <w:rsid w:val="66E610DD"/>
    <w:rsid w:val="66F44128"/>
    <w:rsid w:val="67140294"/>
    <w:rsid w:val="675E5F1F"/>
    <w:rsid w:val="676F344F"/>
    <w:rsid w:val="67713939"/>
    <w:rsid w:val="67784CC7"/>
    <w:rsid w:val="67BC554A"/>
    <w:rsid w:val="67C06D97"/>
    <w:rsid w:val="67E24D9E"/>
    <w:rsid w:val="68043BF4"/>
    <w:rsid w:val="680F4609"/>
    <w:rsid w:val="682639C2"/>
    <w:rsid w:val="68552CA8"/>
    <w:rsid w:val="68DF9C86"/>
    <w:rsid w:val="68F964CA"/>
    <w:rsid w:val="6912331A"/>
    <w:rsid w:val="696A3F95"/>
    <w:rsid w:val="69921CC8"/>
    <w:rsid w:val="69AD032F"/>
    <w:rsid w:val="69B31FE7"/>
    <w:rsid w:val="69FC1BE0"/>
    <w:rsid w:val="6A097E59"/>
    <w:rsid w:val="6A360EEA"/>
    <w:rsid w:val="6A675E13"/>
    <w:rsid w:val="6A731776"/>
    <w:rsid w:val="6A771266"/>
    <w:rsid w:val="6A7A727B"/>
    <w:rsid w:val="6A8D3DA6"/>
    <w:rsid w:val="6AA47B81"/>
    <w:rsid w:val="6ADE1D95"/>
    <w:rsid w:val="6B0760D8"/>
    <w:rsid w:val="6B5A0891"/>
    <w:rsid w:val="6B944049"/>
    <w:rsid w:val="6BA74953"/>
    <w:rsid w:val="6BC531F3"/>
    <w:rsid w:val="6BDF7E05"/>
    <w:rsid w:val="6C0C59DE"/>
    <w:rsid w:val="6C134138"/>
    <w:rsid w:val="6C154631"/>
    <w:rsid w:val="6C2345DA"/>
    <w:rsid w:val="6C3C2767"/>
    <w:rsid w:val="6C3E2CCD"/>
    <w:rsid w:val="6C4E249B"/>
    <w:rsid w:val="6CA00A0D"/>
    <w:rsid w:val="6CA65E33"/>
    <w:rsid w:val="6CBB2403"/>
    <w:rsid w:val="6CD26F58"/>
    <w:rsid w:val="6CE07597"/>
    <w:rsid w:val="6D033285"/>
    <w:rsid w:val="6D5538CD"/>
    <w:rsid w:val="6D5A453F"/>
    <w:rsid w:val="6D660B84"/>
    <w:rsid w:val="6D733A24"/>
    <w:rsid w:val="6D981752"/>
    <w:rsid w:val="6D9E0465"/>
    <w:rsid w:val="6D9F6010"/>
    <w:rsid w:val="6DA02E78"/>
    <w:rsid w:val="6E0A419F"/>
    <w:rsid w:val="6E494CC8"/>
    <w:rsid w:val="6E4E22DE"/>
    <w:rsid w:val="6E5476BC"/>
    <w:rsid w:val="6E900B48"/>
    <w:rsid w:val="6E900C83"/>
    <w:rsid w:val="6EC40C8D"/>
    <w:rsid w:val="6EE64C0C"/>
    <w:rsid w:val="6EE756FF"/>
    <w:rsid w:val="6F172591"/>
    <w:rsid w:val="6F326814"/>
    <w:rsid w:val="6F3AAB41"/>
    <w:rsid w:val="6F5E4812"/>
    <w:rsid w:val="6FBE165A"/>
    <w:rsid w:val="6FC860C0"/>
    <w:rsid w:val="6FC87136"/>
    <w:rsid w:val="6FCE70A8"/>
    <w:rsid w:val="6FDB5ADE"/>
    <w:rsid w:val="7000794F"/>
    <w:rsid w:val="703C2796"/>
    <w:rsid w:val="70AE379D"/>
    <w:rsid w:val="70B40873"/>
    <w:rsid w:val="70B77B16"/>
    <w:rsid w:val="70DC1D73"/>
    <w:rsid w:val="70DE2C41"/>
    <w:rsid w:val="71283568"/>
    <w:rsid w:val="713E7FFE"/>
    <w:rsid w:val="71501F58"/>
    <w:rsid w:val="71553388"/>
    <w:rsid w:val="715A70ED"/>
    <w:rsid w:val="718C4198"/>
    <w:rsid w:val="719B283C"/>
    <w:rsid w:val="71BF4F22"/>
    <w:rsid w:val="71C5161E"/>
    <w:rsid w:val="71C60BBD"/>
    <w:rsid w:val="71DD572F"/>
    <w:rsid w:val="71FA2284"/>
    <w:rsid w:val="72077373"/>
    <w:rsid w:val="721750DD"/>
    <w:rsid w:val="72414F65"/>
    <w:rsid w:val="724B647F"/>
    <w:rsid w:val="72514A93"/>
    <w:rsid w:val="727D36F1"/>
    <w:rsid w:val="72812429"/>
    <w:rsid w:val="72B15531"/>
    <w:rsid w:val="72BD2E4A"/>
    <w:rsid w:val="72CE14DA"/>
    <w:rsid w:val="73102258"/>
    <w:rsid w:val="73293271"/>
    <w:rsid w:val="73355BB3"/>
    <w:rsid w:val="734463A5"/>
    <w:rsid w:val="73A35027"/>
    <w:rsid w:val="73A70437"/>
    <w:rsid w:val="73AB3D10"/>
    <w:rsid w:val="73B12625"/>
    <w:rsid w:val="73F230EE"/>
    <w:rsid w:val="742064CB"/>
    <w:rsid w:val="743951B9"/>
    <w:rsid w:val="74511EDC"/>
    <w:rsid w:val="746C5BB4"/>
    <w:rsid w:val="746F1200"/>
    <w:rsid w:val="748702F8"/>
    <w:rsid w:val="74A76372"/>
    <w:rsid w:val="756B681A"/>
    <w:rsid w:val="757E794D"/>
    <w:rsid w:val="75846F2D"/>
    <w:rsid w:val="75973CBD"/>
    <w:rsid w:val="75B21702"/>
    <w:rsid w:val="760C31AA"/>
    <w:rsid w:val="76322AE9"/>
    <w:rsid w:val="76397D18"/>
    <w:rsid w:val="763E70DC"/>
    <w:rsid w:val="764D059E"/>
    <w:rsid w:val="765D6045"/>
    <w:rsid w:val="7660670A"/>
    <w:rsid w:val="76860D0B"/>
    <w:rsid w:val="76877F89"/>
    <w:rsid w:val="76B25D27"/>
    <w:rsid w:val="76DE41F1"/>
    <w:rsid w:val="76E57E3C"/>
    <w:rsid w:val="76EDA81D"/>
    <w:rsid w:val="76EE62B6"/>
    <w:rsid w:val="76FC30F7"/>
    <w:rsid w:val="774764F9"/>
    <w:rsid w:val="775552A3"/>
    <w:rsid w:val="77966AA2"/>
    <w:rsid w:val="77A13DC6"/>
    <w:rsid w:val="77CB499F"/>
    <w:rsid w:val="77DC095A"/>
    <w:rsid w:val="77DC4DFE"/>
    <w:rsid w:val="77DE062E"/>
    <w:rsid w:val="78435E52"/>
    <w:rsid w:val="78873D84"/>
    <w:rsid w:val="789210C2"/>
    <w:rsid w:val="789A6244"/>
    <w:rsid w:val="78A2146F"/>
    <w:rsid w:val="78A43B6E"/>
    <w:rsid w:val="78AD455D"/>
    <w:rsid w:val="78C0202A"/>
    <w:rsid w:val="79002F38"/>
    <w:rsid w:val="79504556"/>
    <w:rsid w:val="795E3E7D"/>
    <w:rsid w:val="79602195"/>
    <w:rsid w:val="79646E59"/>
    <w:rsid w:val="7970109B"/>
    <w:rsid w:val="799A571B"/>
    <w:rsid w:val="79A90D10"/>
    <w:rsid w:val="79D815F5"/>
    <w:rsid w:val="79DD0435"/>
    <w:rsid w:val="7A3D4D0F"/>
    <w:rsid w:val="7A401675"/>
    <w:rsid w:val="7A730B94"/>
    <w:rsid w:val="7A7D45CF"/>
    <w:rsid w:val="7A8202C4"/>
    <w:rsid w:val="7A822A76"/>
    <w:rsid w:val="7AAC0AB8"/>
    <w:rsid w:val="7AD631BD"/>
    <w:rsid w:val="7AE55D78"/>
    <w:rsid w:val="7AFE0F35"/>
    <w:rsid w:val="7B0512AA"/>
    <w:rsid w:val="7B080B3F"/>
    <w:rsid w:val="7B203254"/>
    <w:rsid w:val="7B4F7695"/>
    <w:rsid w:val="7B580C40"/>
    <w:rsid w:val="7B75534E"/>
    <w:rsid w:val="7B8A3778"/>
    <w:rsid w:val="7B8D7AD7"/>
    <w:rsid w:val="7BBB2901"/>
    <w:rsid w:val="7BC07FAC"/>
    <w:rsid w:val="7BDE7397"/>
    <w:rsid w:val="7C135BCC"/>
    <w:rsid w:val="7C142DB9"/>
    <w:rsid w:val="7C3F7B31"/>
    <w:rsid w:val="7C420366"/>
    <w:rsid w:val="7CB75E9C"/>
    <w:rsid w:val="7CB934B5"/>
    <w:rsid w:val="7CF60710"/>
    <w:rsid w:val="7D083FA0"/>
    <w:rsid w:val="7D350691"/>
    <w:rsid w:val="7D6F1533"/>
    <w:rsid w:val="7D760D57"/>
    <w:rsid w:val="7D983576"/>
    <w:rsid w:val="7DAE6560"/>
    <w:rsid w:val="7DCC1471"/>
    <w:rsid w:val="7DD520D4"/>
    <w:rsid w:val="7DD6409E"/>
    <w:rsid w:val="7DFF175B"/>
    <w:rsid w:val="7E116F19"/>
    <w:rsid w:val="7E3F5587"/>
    <w:rsid w:val="7E5C0A47"/>
    <w:rsid w:val="7EB50157"/>
    <w:rsid w:val="7EE42C21"/>
    <w:rsid w:val="7F18742B"/>
    <w:rsid w:val="7F1D4BF9"/>
    <w:rsid w:val="7F390D88"/>
    <w:rsid w:val="7F405C73"/>
    <w:rsid w:val="7F413799"/>
    <w:rsid w:val="7F421D33"/>
    <w:rsid w:val="7F4E65E2"/>
    <w:rsid w:val="7F6D458E"/>
    <w:rsid w:val="7F6D677A"/>
    <w:rsid w:val="7F9D0618"/>
    <w:rsid w:val="7FAA7590"/>
    <w:rsid w:val="7FC56687"/>
    <w:rsid w:val="7FE900B8"/>
    <w:rsid w:val="BDD3A7EF"/>
    <w:rsid w:val="BDF7DF37"/>
    <w:rsid w:val="BFCF5555"/>
    <w:rsid w:val="D3FE2051"/>
    <w:rsid w:val="D6EE6A8C"/>
    <w:rsid w:val="D6FF5A20"/>
    <w:rsid w:val="EF7F970D"/>
    <w:rsid w:val="EFC93E77"/>
    <w:rsid w:val="EFCA8964"/>
    <w:rsid w:val="F75B9664"/>
    <w:rsid w:val="F76CDF1A"/>
    <w:rsid w:val="F93F3AF3"/>
    <w:rsid w:val="FDEF5C7F"/>
    <w:rsid w:val="FDF00A4A"/>
    <w:rsid w:val="FFBF7E21"/>
    <w:rsid w:val="FFFFD49B"/>
    <w:rsid w:val="FFFFF6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iPriority="99" w:semiHidden="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34">
    <w:name w:val="Default Paragraph Font"/>
    <w:unhideWhenUsed/>
    <w:qFormat/>
    <w:uiPriority w:val="1"/>
  </w:style>
  <w:style w:type="table" w:default="1" w:styleId="3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Body Text First Indent 21"/>
    <w:next w:val="1"/>
    <w:qFormat/>
    <w:uiPriority w:val="0"/>
    <w:pPr>
      <w:widowControl w:val="0"/>
      <w:spacing w:after="120"/>
      <w:jc w:val="both"/>
    </w:pPr>
    <w:rPr>
      <w:rFonts w:ascii="Times New Roman" w:hAnsi="Times New Roman" w:eastAsia="微软雅黑" w:cs="Times New Roman"/>
      <w:kern w:val="2"/>
      <w:sz w:val="21"/>
      <w:szCs w:val="22"/>
      <w:lang w:val="en-US" w:eastAsia="zh-CN" w:bidi="ar-SA"/>
    </w:rPr>
  </w:style>
  <w:style w:type="paragraph" w:styleId="6">
    <w:name w:val="toc 7"/>
    <w:basedOn w:val="1"/>
    <w:next w:val="1"/>
    <w:unhideWhenUsed/>
    <w:qFormat/>
    <w:uiPriority w:val="39"/>
    <w:pPr>
      <w:ind w:left="2520" w:leftChars="1200"/>
    </w:pPr>
    <w:rPr>
      <w:rFonts w:ascii="等线" w:hAnsi="等线" w:eastAsia="等线"/>
      <w:szCs w:val="22"/>
    </w:rPr>
  </w:style>
  <w:style w:type="paragraph" w:styleId="7">
    <w:name w:val="Normal Indent"/>
    <w:basedOn w:val="1"/>
    <w:next w:val="8"/>
    <w:link w:val="40"/>
    <w:qFormat/>
    <w:uiPriority w:val="0"/>
    <w:pPr>
      <w:ind w:firstLine="420" w:firstLineChars="200"/>
    </w:pPr>
  </w:style>
  <w:style w:type="paragraph" w:customStyle="1" w:styleId="8">
    <w:name w:val="首行缩进"/>
    <w:basedOn w:val="1"/>
    <w:unhideWhenUsed/>
    <w:qFormat/>
    <w:uiPriority w:val="0"/>
    <w:pPr>
      <w:spacing w:beforeLines="0" w:afterLines="0" w:line="360" w:lineRule="auto"/>
      <w:ind w:firstLine="480" w:firstLineChars="200"/>
    </w:pPr>
    <w:rPr>
      <w:rFonts w:hint="default"/>
      <w:sz w:val="24"/>
      <w:szCs w:val="24"/>
      <w:lang w:val="zh-CN"/>
    </w:rPr>
  </w:style>
  <w:style w:type="paragraph" w:styleId="9">
    <w:name w:val="toa heading"/>
    <w:basedOn w:val="1"/>
    <w:next w:val="1"/>
    <w:unhideWhenUsed/>
    <w:qFormat/>
    <w:uiPriority w:val="99"/>
    <w:pPr>
      <w:spacing w:before="120"/>
    </w:pPr>
    <w:rPr>
      <w:rFonts w:ascii="Arial" w:hAnsi="Arial" w:cs="Arial"/>
      <w:sz w:val="24"/>
      <w:szCs w:val="24"/>
    </w:rPr>
  </w:style>
  <w:style w:type="paragraph" w:styleId="10">
    <w:name w:val="annotation text"/>
    <w:basedOn w:val="1"/>
    <w:link w:val="41"/>
    <w:qFormat/>
    <w:uiPriority w:val="0"/>
    <w:pPr>
      <w:jc w:val="left"/>
    </w:pPr>
    <w:rPr>
      <w:sz w:val="18"/>
      <w:szCs w:val="20"/>
    </w:rPr>
  </w:style>
  <w:style w:type="paragraph" w:styleId="11">
    <w:name w:val="Body Text"/>
    <w:basedOn w:val="1"/>
    <w:next w:val="12"/>
    <w:qFormat/>
    <w:uiPriority w:val="0"/>
    <w:pPr>
      <w:spacing w:after="120"/>
    </w:pPr>
  </w:style>
  <w:style w:type="paragraph" w:styleId="12">
    <w:name w:val="Body Text First Indent"/>
    <w:basedOn w:val="11"/>
    <w:qFormat/>
    <w:uiPriority w:val="0"/>
    <w:pPr>
      <w:ind w:firstLine="420" w:firstLineChars="100"/>
    </w:pPr>
    <w:rPr>
      <w:rFonts w:ascii="Calibri" w:hAnsi="Calibri" w:eastAsia="宋体"/>
      <w:sz w:val="21"/>
    </w:rPr>
  </w:style>
  <w:style w:type="paragraph" w:styleId="13">
    <w:name w:val="Body Text Indent"/>
    <w:basedOn w:val="1"/>
    <w:link w:val="42"/>
    <w:qFormat/>
    <w:uiPriority w:val="0"/>
    <w:pPr>
      <w:ind w:firstLine="630"/>
    </w:pPr>
    <w:rPr>
      <w:sz w:val="32"/>
      <w:szCs w:val="20"/>
    </w:rPr>
  </w:style>
  <w:style w:type="paragraph" w:styleId="14">
    <w:name w:val="toc 5"/>
    <w:basedOn w:val="1"/>
    <w:next w:val="1"/>
    <w:unhideWhenUsed/>
    <w:qFormat/>
    <w:uiPriority w:val="39"/>
    <w:pPr>
      <w:ind w:left="1680" w:leftChars="800"/>
    </w:pPr>
    <w:rPr>
      <w:rFonts w:ascii="等线" w:hAnsi="等线" w:eastAsia="等线"/>
      <w:szCs w:val="22"/>
    </w:rPr>
  </w:style>
  <w:style w:type="paragraph" w:styleId="15">
    <w:name w:val="toc 3"/>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paragraph" w:styleId="16">
    <w:name w:val="Plain Text"/>
    <w:basedOn w:val="1"/>
    <w:next w:val="1"/>
    <w:link w:val="43"/>
    <w:qFormat/>
    <w:uiPriority w:val="0"/>
    <w:pPr>
      <w:autoSpaceDE w:val="0"/>
      <w:autoSpaceDN w:val="0"/>
      <w:adjustRightInd w:val="0"/>
    </w:pPr>
    <w:rPr>
      <w:rFonts w:ascii="宋体" w:hAnsi="Tms Rmn"/>
      <w:kern w:val="0"/>
      <w:szCs w:val="20"/>
    </w:rPr>
  </w:style>
  <w:style w:type="paragraph" w:styleId="17">
    <w:name w:val="toc 8"/>
    <w:basedOn w:val="1"/>
    <w:next w:val="1"/>
    <w:unhideWhenUsed/>
    <w:qFormat/>
    <w:uiPriority w:val="39"/>
    <w:pPr>
      <w:ind w:left="2940" w:leftChars="1400"/>
    </w:pPr>
    <w:rPr>
      <w:rFonts w:ascii="等线" w:hAnsi="等线" w:eastAsia="等线"/>
      <w:szCs w:val="22"/>
    </w:rPr>
  </w:style>
  <w:style w:type="paragraph" w:styleId="18">
    <w:name w:val="Body Text Indent 2"/>
    <w:basedOn w:val="1"/>
    <w:qFormat/>
    <w:uiPriority w:val="0"/>
    <w:pPr>
      <w:spacing w:after="120" w:line="480" w:lineRule="auto"/>
      <w:ind w:left="420" w:leftChars="200"/>
    </w:pPr>
  </w:style>
  <w:style w:type="paragraph" w:styleId="19">
    <w:name w:val="Balloon Text"/>
    <w:basedOn w:val="1"/>
    <w:semiHidden/>
    <w:qFormat/>
    <w:uiPriority w:val="0"/>
    <w:rPr>
      <w:sz w:val="18"/>
      <w:szCs w:val="18"/>
    </w:rPr>
  </w:style>
  <w:style w:type="paragraph" w:styleId="20">
    <w:name w:val="footer"/>
    <w:basedOn w:val="1"/>
    <w:link w:val="44"/>
    <w:qFormat/>
    <w:uiPriority w:val="99"/>
    <w:pPr>
      <w:tabs>
        <w:tab w:val="center" w:pos="4153"/>
        <w:tab w:val="right" w:pos="8306"/>
      </w:tabs>
      <w:snapToGrid w:val="0"/>
      <w:jc w:val="left"/>
    </w:pPr>
    <w:rPr>
      <w:sz w:val="18"/>
      <w:szCs w:val="20"/>
    </w:rPr>
  </w:style>
  <w:style w:type="paragraph" w:styleId="21">
    <w:name w:val="header"/>
    <w:basedOn w:val="1"/>
    <w:link w:val="45"/>
    <w:qFormat/>
    <w:uiPriority w:val="0"/>
    <w:pPr>
      <w:pBdr>
        <w:bottom w:val="single" w:color="auto" w:sz="6" w:space="1"/>
      </w:pBdr>
      <w:tabs>
        <w:tab w:val="center" w:pos="4153"/>
        <w:tab w:val="right" w:pos="8306"/>
      </w:tabs>
      <w:snapToGrid w:val="0"/>
      <w:jc w:val="center"/>
    </w:pPr>
    <w:rPr>
      <w:sz w:val="18"/>
      <w:szCs w:val="20"/>
    </w:rPr>
  </w:style>
  <w:style w:type="paragraph" w:styleId="22">
    <w:name w:val="toc 1"/>
    <w:basedOn w:val="1"/>
    <w:next w:val="1"/>
    <w:unhideWhenUsed/>
    <w:qFormat/>
    <w:uiPriority w:val="39"/>
    <w:pPr>
      <w:widowControl/>
      <w:spacing w:after="100" w:line="259" w:lineRule="auto"/>
      <w:jc w:val="left"/>
    </w:pPr>
    <w:rPr>
      <w:rFonts w:ascii="等线" w:hAnsi="等线" w:eastAsia="等线"/>
      <w:kern w:val="0"/>
      <w:sz w:val="22"/>
      <w:szCs w:val="22"/>
    </w:rPr>
  </w:style>
  <w:style w:type="paragraph" w:styleId="23">
    <w:name w:val="toc 4"/>
    <w:basedOn w:val="1"/>
    <w:next w:val="1"/>
    <w:unhideWhenUsed/>
    <w:qFormat/>
    <w:uiPriority w:val="39"/>
    <w:pPr>
      <w:ind w:left="1260" w:leftChars="600"/>
    </w:pPr>
    <w:rPr>
      <w:rFonts w:ascii="等线" w:hAnsi="等线" w:eastAsia="等线"/>
      <w:szCs w:val="22"/>
    </w:rPr>
  </w:style>
  <w:style w:type="paragraph" w:styleId="24">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25">
    <w:name w:val="toc 6"/>
    <w:basedOn w:val="1"/>
    <w:next w:val="1"/>
    <w:unhideWhenUsed/>
    <w:qFormat/>
    <w:uiPriority w:val="39"/>
    <w:pPr>
      <w:ind w:left="2100" w:leftChars="1000"/>
    </w:pPr>
    <w:rPr>
      <w:rFonts w:ascii="等线" w:hAnsi="等线" w:eastAsia="等线"/>
      <w:szCs w:val="22"/>
    </w:rPr>
  </w:style>
  <w:style w:type="paragraph" w:styleId="26">
    <w:name w:val="Body Text Indent 3"/>
    <w:basedOn w:val="1"/>
    <w:link w:val="46"/>
    <w:qFormat/>
    <w:uiPriority w:val="0"/>
    <w:pPr>
      <w:spacing w:after="120"/>
      <w:ind w:left="420" w:leftChars="200"/>
    </w:pPr>
    <w:rPr>
      <w:sz w:val="16"/>
      <w:szCs w:val="16"/>
    </w:rPr>
  </w:style>
  <w:style w:type="paragraph" w:styleId="27">
    <w:name w:val="toc 2"/>
    <w:basedOn w:val="1"/>
    <w:next w:val="1"/>
    <w:unhideWhenUsed/>
    <w:qFormat/>
    <w:uiPriority w:val="39"/>
    <w:pPr>
      <w:widowControl/>
      <w:spacing w:after="100" w:line="259" w:lineRule="auto"/>
      <w:ind w:left="220"/>
      <w:jc w:val="left"/>
    </w:pPr>
    <w:rPr>
      <w:rFonts w:ascii="等线" w:hAnsi="等线" w:eastAsia="等线"/>
      <w:kern w:val="0"/>
      <w:sz w:val="22"/>
      <w:szCs w:val="22"/>
    </w:rPr>
  </w:style>
  <w:style w:type="paragraph" w:styleId="28">
    <w:name w:val="toc 9"/>
    <w:basedOn w:val="1"/>
    <w:next w:val="1"/>
    <w:unhideWhenUsed/>
    <w:qFormat/>
    <w:uiPriority w:val="39"/>
    <w:pPr>
      <w:ind w:left="3360" w:leftChars="1600"/>
    </w:pPr>
    <w:rPr>
      <w:rFonts w:ascii="等线" w:hAnsi="等线" w:eastAsia="等线"/>
      <w:szCs w:val="22"/>
    </w:rPr>
  </w:style>
  <w:style w:type="paragraph" w:styleId="29">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30">
    <w:name w:val="annotation subject"/>
    <w:basedOn w:val="10"/>
    <w:next w:val="10"/>
    <w:link w:val="47"/>
    <w:qFormat/>
    <w:uiPriority w:val="0"/>
    <w:rPr>
      <w:b/>
      <w:bCs/>
      <w:sz w:val="21"/>
      <w:szCs w:val="24"/>
    </w:rPr>
  </w:style>
  <w:style w:type="paragraph" w:styleId="31">
    <w:name w:val="Body Text First Indent 2"/>
    <w:basedOn w:val="13"/>
    <w:next w:val="1"/>
    <w:qFormat/>
    <w:uiPriority w:val="0"/>
    <w:pPr>
      <w:spacing w:after="120"/>
      <w:ind w:left="420" w:leftChars="200" w:firstLine="420" w:firstLineChars="200"/>
    </w:pPr>
    <w:rPr>
      <w:rFonts w:ascii="宋体"/>
      <w:sz w:val="34"/>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qFormat/>
    <w:uiPriority w:val="0"/>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标题 2 Char"/>
    <w:link w:val="4"/>
    <w:qFormat/>
    <w:uiPriority w:val="0"/>
    <w:rPr>
      <w:rFonts w:ascii="Arial" w:hAnsi="Arial" w:eastAsia="黑体"/>
      <w:b/>
      <w:bCs/>
      <w:kern w:val="2"/>
      <w:sz w:val="32"/>
      <w:szCs w:val="32"/>
    </w:rPr>
  </w:style>
  <w:style w:type="character" w:customStyle="1" w:styleId="40">
    <w:name w:val="正文缩进 Char"/>
    <w:link w:val="7"/>
    <w:qFormat/>
    <w:uiPriority w:val="0"/>
    <w:rPr>
      <w:rFonts w:eastAsia="宋体"/>
      <w:kern w:val="2"/>
      <w:sz w:val="21"/>
      <w:szCs w:val="24"/>
      <w:lang w:val="en-US" w:eastAsia="zh-CN" w:bidi="ar-SA"/>
    </w:rPr>
  </w:style>
  <w:style w:type="character" w:customStyle="1" w:styleId="41">
    <w:name w:val="批注文字 Char"/>
    <w:link w:val="10"/>
    <w:qFormat/>
    <w:uiPriority w:val="0"/>
    <w:rPr>
      <w:kern w:val="2"/>
      <w:sz w:val="18"/>
      <w:lang w:bidi="ar-SA"/>
    </w:rPr>
  </w:style>
  <w:style w:type="character" w:customStyle="1" w:styleId="42">
    <w:name w:val="正文文本缩进 Char"/>
    <w:link w:val="13"/>
    <w:qFormat/>
    <w:uiPriority w:val="0"/>
    <w:rPr>
      <w:rFonts w:eastAsia="宋体"/>
      <w:kern w:val="2"/>
      <w:sz w:val="32"/>
      <w:lang w:val="en-US" w:eastAsia="zh-CN" w:bidi="ar-SA"/>
    </w:rPr>
  </w:style>
  <w:style w:type="character" w:customStyle="1" w:styleId="43">
    <w:name w:val="纯文本 Char"/>
    <w:link w:val="16"/>
    <w:unhideWhenUsed/>
    <w:qFormat/>
    <w:uiPriority w:val="0"/>
    <w:rPr>
      <w:rFonts w:ascii="宋体" w:hAnsi="Tms Rmn" w:eastAsia="宋体"/>
      <w:sz w:val="21"/>
      <w:lang w:val="en-US" w:eastAsia="zh-CN" w:bidi="ar-SA"/>
    </w:rPr>
  </w:style>
  <w:style w:type="character" w:customStyle="1" w:styleId="44">
    <w:name w:val="页脚 Char"/>
    <w:link w:val="20"/>
    <w:qFormat/>
    <w:uiPriority w:val="99"/>
    <w:rPr>
      <w:rFonts w:eastAsia="宋体"/>
      <w:kern w:val="2"/>
      <w:sz w:val="18"/>
      <w:lang w:val="en-US" w:eastAsia="zh-CN" w:bidi="ar-SA"/>
    </w:rPr>
  </w:style>
  <w:style w:type="character" w:customStyle="1" w:styleId="45">
    <w:name w:val="页眉 Char"/>
    <w:link w:val="21"/>
    <w:qFormat/>
    <w:uiPriority w:val="0"/>
    <w:rPr>
      <w:rFonts w:eastAsia="宋体"/>
      <w:kern w:val="2"/>
      <w:sz w:val="18"/>
      <w:lang w:val="en-US" w:eastAsia="zh-CN" w:bidi="ar-SA"/>
    </w:rPr>
  </w:style>
  <w:style w:type="character" w:customStyle="1" w:styleId="46">
    <w:name w:val="正文文本缩进 3 Char"/>
    <w:link w:val="26"/>
    <w:qFormat/>
    <w:uiPriority w:val="0"/>
    <w:rPr>
      <w:kern w:val="2"/>
      <w:sz w:val="16"/>
      <w:szCs w:val="16"/>
    </w:rPr>
  </w:style>
  <w:style w:type="character" w:customStyle="1" w:styleId="47">
    <w:name w:val="批注主题 Char"/>
    <w:link w:val="30"/>
    <w:qFormat/>
    <w:uiPriority w:val="0"/>
    <w:rPr>
      <w:b/>
      <w:bCs/>
      <w:kern w:val="2"/>
      <w:sz w:val="21"/>
      <w:szCs w:val="24"/>
      <w:lang w:bidi="ar-SA"/>
    </w:rPr>
  </w:style>
  <w:style w:type="paragraph" w:customStyle="1" w:styleId="48">
    <w:name w:val="正文首行缩进 21"/>
    <w:basedOn w:val="49"/>
    <w:qFormat/>
    <w:uiPriority w:val="0"/>
    <w:pPr>
      <w:ind w:firstLine="420"/>
    </w:pPr>
    <w:rPr>
      <w:szCs w:val="22"/>
    </w:rPr>
  </w:style>
  <w:style w:type="paragraph" w:customStyle="1" w:styleId="49">
    <w:name w:val="正文文本缩进1"/>
    <w:basedOn w:val="1"/>
    <w:qFormat/>
    <w:uiPriority w:val="0"/>
    <w:pPr>
      <w:spacing w:line="700" w:lineRule="exact"/>
      <w:ind w:left="960"/>
    </w:pPr>
    <w:rPr>
      <w:sz w:val="44"/>
      <w:szCs w:val="20"/>
    </w:rPr>
  </w:style>
  <w:style w:type="character" w:customStyle="1" w:styleId="50">
    <w:name w:val="NormalCharacter"/>
    <w:semiHidden/>
    <w:qFormat/>
    <w:uiPriority w:val="0"/>
  </w:style>
  <w:style w:type="character" w:customStyle="1" w:styleId="51">
    <w:name w:val="（符号）邀请函中一、"/>
    <w:qFormat/>
    <w:uiPriority w:val="0"/>
    <w:rPr>
      <w:rFonts w:ascii="黑体" w:hAnsi="黑体" w:eastAsia="黑体"/>
      <w:b/>
      <w:bCs/>
      <w:sz w:val="24"/>
    </w:rPr>
  </w:style>
  <w:style w:type="character" w:customStyle="1" w:styleId="52">
    <w:name w:val="页码1"/>
    <w:qFormat/>
    <w:uiPriority w:val="0"/>
  </w:style>
  <w:style w:type="character" w:customStyle="1" w:styleId="53">
    <w:name w:val="GW-正文 Char"/>
    <w:link w:val="54"/>
    <w:qFormat/>
    <w:uiPriority w:val="0"/>
    <w:rPr>
      <w:rFonts w:eastAsia="仿宋_GB2312"/>
      <w:kern w:val="2"/>
      <w:sz w:val="24"/>
      <w:szCs w:val="24"/>
      <w:lang w:val="en-US" w:eastAsia="zh-CN" w:bidi="ar-SA"/>
    </w:rPr>
  </w:style>
  <w:style w:type="paragraph" w:customStyle="1" w:styleId="54">
    <w:name w:val="GW-正文"/>
    <w:basedOn w:val="1"/>
    <w:link w:val="53"/>
    <w:qFormat/>
    <w:uiPriority w:val="0"/>
    <w:pPr>
      <w:spacing w:line="360" w:lineRule="auto"/>
      <w:ind w:firstLine="200" w:firstLineChars="200"/>
    </w:pPr>
    <w:rPr>
      <w:rFonts w:eastAsia="仿宋_GB2312"/>
      <w:sz w:val="24"/>
    </w:rPr>
  </w:style>
  <w:style w:type="character" w:customStyle="1" w:styleId="55">
    <w:name w:val="Char Char9"/>
    <w:qFormat/>
    <w:uiPriority w:val="0"/>
    <w:rPr>
      <w:kern w:val="2"/>
      <w:sz w:val="21"/>
    </w:rPr>
  </w:style>
  <w:style w:type="character" w:customStyle="1" w:styleId="56">
    <w:name w:val="未处理的提及1"/>
    <w:unhideWhenUsed/>
    <w:qFormat/>
    <w:uiPriority w:val="99"/>
    <w:rPr>
      <w:color w:val="605E5C"/>
      <w:shd w:val="clear" w:color="auto" w:fill="E1DFDD"/>
    </w:rPr>
  </w:style>
  <w:style w:type="character" w:customStyle="1" w:styleId="57">
    <w:name w:val="列出段落 Char"/>
    <w:link w:val="58"/>
    <w:qFormat/>
    <w:uiPriority w:val="0"/>
    <w:rPr>
      <w:rFonts w:eastAsia="宋体"/>
      <w:kern w:val="2"/>
      <w:sz w:val="21"/>
      <w:szCs w:val="24"/>
      <w:lang w:val="en-US" w:eastAsia="zh-CN" w:bidi="ar-SA"/>
    </w:rPr>
  </w:style>
  <w:style w:type="paragraph" w:styleId="58">
    <w:name w:val="List Paragraph"/>
    <w:basedOn w:val="1"/>
    <w:link w:val="57"/>
    <w:qFormat/>
    <w:uiPriority w:val="0"/>
    <w:pPr>
      <w:ind w:firstLine="420" w:firstLineChars="200"/>
    </w:pPr>
  </w:style>
  <w:style w:type="character" w:customStyle="1" w:styleId="59">
    <w:name w:val="批注文字 Char1"/>
    <w:qFormat/>
    <w:uiPriority w:val="0"/>
    <w:rPr>
      <w:kern w:val="2"/>
      <w:sz w:val="18"/>
      <w:lang w:bidi="ar-SA"/>
    </w:rPr>
  </w:style>
  <w:style w:type="paragraph" w:customStyle="1" w:styleId="60">
    <w:name w:val="表格"/>
    <w:basedOn w:val="1"/>
    <w:qFormat/>
    <w:uiPriority w:val="0"/>
    <w:pPr>
      <w:spacing w:line="400" w:lineRule="exact"/>
    </w:pPr>
    <w:rPr>
      <w:sz w:val="24"/>
    </w:rPr>
  </w:style>
  <w:style w:type="paragraph" w:customStyle="1" w:styleId="61">
    <w:name w:val="WPSOffice手动目录 1"/>
    <w:qFormat/>
    <w:uiPriority w:val="0"/>
    <w:rPr>
      <w:rFonts w:ascii="Times New Roman" w:hAnsi="Times New Roman" w:eastAsia="宋体" w:cs="Times New Roman"/>
      <w:lang w:val="en-US" w:eastAsia="zh-CN" w:bidi="ar-SA"/>
    </w:rPr>
  </w:style>
  <w:style w:type="paragraph" w:customStyle="1" w:styleId="62">
    <w:name w:val="_Style 6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63">
    <w:name w:val="Char Char Char Char Char Char Char Char Char Char Char Char Char Char1 Char Char Char Char"/>
    <w:basedOn w:val="1"/>
    <w:qFormat/>
    <w:uiPriority w:val="0"/>
    <w:rPr>
      <w:szCs w:val="21"/>
    </w:rPr>
  </w:style>
  <w:style w:type="paragraph" w:customStyle="1" w:styleId="64">
    <w:name w:val="01、普通正文"/>
    <w:basedOn w:val="1"/>
    <w:qFormat/>
    <w:uiPriority w:val="0"/>
    <w:pPr>
      <w:tabs>
        <w:tab w:val="left" w:pos="0"/>
      </w:tabs>
      <w:wordWrap w:val="0"/>
      <w:topLinePunct/>
      <w:ind w:firstLine="0" w:firstLineChars="0"/>
    </w:pPr>
    <w:rPr>
      <w:rFonts w:ascii="宋体" w:hAnsi="宋体" w:eastAsia="宋体"/>
      <w:snapToGrid w:val="0"/>
    </w:rPr>
  </w:style>
  <w:style w:type="paragraph" w:customStyle="1" w:styleId="65">
    <w:name w:val="正文（绿盟科技）"/>
    <w:basedOn w:val="1"/>
    <w:qFormat/>
    <w:uiPriority w:val="0"/>
    <w:pPr>
      <w:widowControl/>
      <w:spacing w:line="300" w:lineRule="auto"/>
      <w:jc w:val="left"/>
    </w:pPr>
    <w:rPr>
      <w:rFonts w:ascii="Arial" w:hAnsi="Arial"/>
      <w:szCs w:val="21"/>
    </w:rPr>
  </w:style>
  <w:style w:type="paragraph" w:customStyle="1" w:styleId="66">
    <w:name w:val="正文首行缩进两字符"/>
    <w:basedOn w:val="1"/>
    <w:qFormat/>
    <w:uiPriority w:val="0"/>
    <w:pPr>
      <w:spacing w:line="360" w:lineRule="auto"/>
      <w:ind w:firstLine="200" w:firstLineChars="200"/>
    </w:pPr>
  </w:style>
  <w:style w:type="paragraph" w:customStyle="1" w:styleId="67">
    <w:name w:val="03、“注：”正文(加粗，首行缩进2字符)"/>
    <w:basedOn w:val="64"/>
    <w:qFormat/>
    <w:uiPriority w:val="0"/>
    <w:pPr>
      <w:ind w:firstLine="480" w:firstLineChars="200"/>
    </w:pPr>
    <w:rPr>
      <w:b/>
    </w:rPr>
  </w:style>
  <w:style w:type="paragraph" w:customStyle="1" w:styleId="68">
    <w:name w:val="列出段落1"/>
    <w:basedOn w:val="1"/>
    <w:qFormat/>
    <w:uiPriority w:val="34"/>
    <w:pPr>
      <w:widowControl/>
      <w:spacing w:before="39" w:after="158" w:line="351" w:lineRule="atLeast"/>
      <w:ind w:firstLine="419"/>
      <w:textAlignment w:val="baseline"/>
    </w:pPr>
    <w:rPr>
      <w:rFonts w:ascii="Times New Roman" w:hAnsi="Times New Roman"/>
      <w:color w:val="000000"/>
      <w:kern w:val="0"/>
      <w:szCs w:val="20"/>
      <w:u w:val="none" w:color="000000"/>
    </w:rPr>
  </w:style>
  <w:style w:type="paragraph" w:customStyle="1" w:styleId="69">
    <w:name w:val="样式 首行缩进:  2 字符"/>
    <w:basedOn w:val="1"/>
    <w:qFormat/>
    <w:uiPriority w:val="0"/>
    <w:pPr>
      <w:spacing w:line="400" w:lineRule="exact"/>
      <w:ind w:firstLine="200" w:firstLineChars="200"/>
    </w:pPr>
    <w:rPr>
      <w:rFonts w:cs="宋体"/>
      <w:sz w:val="24"/>
    </w:rPr>
  </w:style>
  <w:style w:type="paragraph" w:customStyle="1" w:styleId="70">
    <w:name w:val="方案正文"/>
    <w:basedOn w:val="1"/>
    <w:qFormat/>
    <w:uiPriority w:val="0"/>
    <w:pPr>
      <w:spacing w:line="360" w:lineRule="auto"/>
      <w:ind w:firstLine="200" w:firstLineChars="200"/>
    </w:pPr>
    <w:rPr>
      <w:rFonts w:ascii="宋体" w:hAnsi="宋体" w:eastAsia="宋体" w:cs="宋体"/>
      <w:sz w:val="24"/>
      <w:szCs w:val="28"/>
    </w:rPr>
  </w:style>
  <w:style w:type="paragraph" w:customStyle="1" w:styleId="71">
    <w:name w:val="Heading2"/>
    <w:basedOn w:val="1"/>
    <w:next w:val="1"/>
    <w:semiHidden/>
    <w:qFormat/>
    <w:uiPriority w:val="0"/>
    <w:pPr>
      <w:keepNext/>
      <w:keepLines/>
      <w:spacing w:before="260" w:after="260" w:line="416" w:lineRule="auto"/>
    </w:pPr>
    <w:rPr>
      <w:rFonts w:ascii="Cambria" w:hAnsi="Cambria"/>
      <w:b/>
      <w:bCs/>
      <w:sz w:val="32"/>
      <w:szCs w:val="32"/>
    </w:rPr>
  </w:style>
  <w:style w:type="paragraph" w:customStyle="1" w:styleId="72">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73">
    <w:name w:val="要求正文"/>
    <w:basedOn w:val="1"/>
    <w:qFormat/>
    <w:uiPriority w:val="0"/>
    <w:pPr>
      <w:spacing w:line="400" w:lineRule="exact"/>
      <w:ind w:firstLine="420" w:firstLineChars="200"/>
    </w:pPr>
    <w:rPr>
      <w:rFonts w:cs="Times New Roman"/>
      <w:sz w:val="24"/>
      <w:szCs w:val="22"/>
    </w:rPr>
  </w:style>
  <w:style w:type="paragraph" w:customStyle="1" w:styleId="74">
    <w:name w:val="标题 5（有编号）（绿盟科技）"/>
    <w:basedOn w:val="1"/>
    <w:next w:val="65"/>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75">
    <w:name w:val="13、表格内居中正文"/>
    <w:basedOn w:val="1"/>
    <w:qFormat/>
    <w:uiPriority w:val="0"/>
    <w:pPr>
      <w:tabs>
        <w:tab w:val="left" w:pos="0"/>
      </w:tabs>
      <w:wordWrap w:val="0"/>
      <w:topLinePunct/>
      <w:adjustRightInd w:val="0"/>
      <w:snapToGrid w:val="0"/>
      <w:spacing w:line="360" w:lineRule="exact"/>
      <w:jc w:val="center"/>
    </w:pPr>
    <w:rPr>
      <w:rFonts w:ascii="宋体" w:hAnsi="宋体" w:cs="Times New Roman"/>
    </w:rPr>
  </w:style>
  <w:style w:type="paragraph" w:customStyle="1" w:styleId="76">
    <w:name w:val="p0"/>
    <w:basedOn w:val="1"/>
    <w:qFormat/>
    <w:uiPriority w:val="0"/>
    <w:pPr>
      <w:widowControl/>
    </w:pPr>
    <w:rPr>
      <w:szCs w:val="21"/>
    </w:rPr>
  </w:style>
  <w:style w:type="paragraph" w:customStyle="1" w:styleId="7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8">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snapToGrid w:val="0"/>
    </w:rPr>
  </w:style>
  <w:style w:type="paragraph" w:customStyle="1" w:styleId="7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0">
    <w:name w:val="列出段落2"/>
    <w:basedOn w:val="1"/>
    <w:qFormat/>
    <w:uiPriority w:val="0"/>
    <w:pPr>
      <w:ind w:firstLine="420" w:firstLineChars="200"/>
    </w:pPr>
    <w:rPr>
      <w:rFonts w:ascii="Calibri" w:hAnsi="Calibri"/>
      <w:szCs w:val="22"/>
    </w:rPr>
  </w:style>
  <w:style w:type="paragraph" w:customStyle="1" w:styleId="81">
    <w:name w:val="Table Paragraph"/>
    <w:basedOn w:val="1"/>
    <w:qFormat/>
    <w:uiPriority w:val="1"/>
    <w:rPr>
      <w:rFonts w:ascii="宋体" w:hAnsi="宋体" w:eastAsia="宋体" w:cs="宋体"/>
      <w:lang w:val="en-US" w:eastAsia="zh-CN" w:bidi="ar-SA"/>
    </w:rPr>
  </w:style>
  <w:style w:type="paragraph" w:customStyle="1" w:styleId="82">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阿坝州公共资源交易中心</Company>
  <Pages>46</Pages>
  <Words>23282</Words>
  <Characters>24520</Characters>
  <Lines>235</Lines>
  <Paragraphs>66</Paragraphs>
  <TotalTime>2832</TotalTime>
  <ScaleCrop>false</ScaleCrop>
  <LinksUpToDate>false</LinksUpToDate>
  <CharactersWithSpaces>24944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2022-10-30T11:08:00Z</dcterms:created>
  <dc:creator>北京筑龙信息技术有限责任公司</dc:creator>
  <cp:lastModifiedBy>北葵向暖</cp:lastModifiedBy>
  <cp:lastPrinted>2026-07-06T04:38:52Z</cp:lastPrinted>
  <dcterms:modified xsi:type="dcterms:W3CDTF">2026-07-10T08:44:19Z</dcterms:modified>
  <dc:title>阿坝州政府采购竞争性磋商服务招标文件范本</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464A4A68FA4F41AF9F9E56615394B4BE_13</vt:lpwstr>
  </property>
  <property fmtid="{D5CDD505-2E9C-101B-9397-08002B2CF9AE}" pid="4" name="commondata">
    <vt:lpwstr>eyJoZGlkIjoiMmVkYzNkYzIwNDU5MmI4NGJmZjU0YzAwMjhjMjFiMjgifQ==</vt:lpwstr>
  </property>
  <property fmtid="{D5CDD505-2E9C-101B-9397-08002B2CF9AE}" pid="5" name="KSOTemplateDocerSaveRecord">
    <vt:lpwstr>eyJoZGlkIjoiZmU1ODUxZmQxZDcxYTQ1ZDEwN2ZkNjk2ZjMyMjg5YWMiLCJ1c2VySWQiOiI1MDM5MzY2ODEifQ==</vt:lpwstr>
  </property>
</Properties>
</file>